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tblpX="1131" w:tblpY="1"/>
        <w:tblOverlap w:val="never"/>
        <w:tblW w:w="0" w:type="auto"/>
        <w:tblCellMar>
          <w:left w:w="70" w:type="dxa"/>
          <w:right w:w="70" w:type="dxa"/>
        </w:tblCellMar>
        <w:tblLook w:val="0000" w:firstRow="0" w:lastRow="0" w:firstColumn="0" w:lastColumn="0" w:noHBand="0" w:noVBand="0"/>
      </w:tblPr>
      <w:tblGrid>
        <w:gridCol w:w="3189"/>
      </w:tblGrid>
      <w:tr w:rsidR="00CC4711" w:rsidRPr="00CC4711" w14:paraId="409F927E" w14:textId="77777777" w:rsidTr="00C60AFB">
        <w:trPr>
          <w:trHeight w:val="426"/>
        </w:trPr>
        <w:tc>
          <w:tcPr>
            <w:tcW w:w="3189" w:type="dxa"/>
            <w:vAlign w:val="center"/>
          </w:tcPr>
          <w:p w14:paraId="0CF8D211" w14:textId="77777777" w:rsidR="00CC761D" w:rsidRPr="00CC4711" w:rsidRDefault="00CC761D" w:rsidP="0027552C">
            <w:pPr>
              <w:tabs>
                <w:tab w:val="left" w:pos="1021"/>
                <w:tab w:val="left" w:pos="8080"/>
              </w:tabs>
              <w:spacing w:after="0" w:line="240" w:lineRule="auto"/>
              <w:ind w:left="1021" w:hanging="1021"/>
              <w:rPr>
                <w:rFonts w:ascii="Calibri" w:eastAsia="Times New Roman" w:hAnsi="Calibri" w:cs="Calibri"/>
                <w:lang w:val="es-ES_tradnl" w:eastAsia="es-ES"/>
              </w:rPr>
            </w:pPr>
          </w:p>
        </w:tc>
      </w:tr>
      <w:tr w:rsidR="00CC4711" w:rsidRPr="00CC4711" w14:paraId="51792694" w14:textId="77777777" w:rsidTr="00C60AFB">
        <w:trPr>
          <w:trHeight w:val="690"/>
        </w:trPr>
        <w:tc>
          <w:tcPr>
            <w:tcW w:w="3189" w:type="dxa"/>
          </w:tcPr>
          <w:p w14:paraId="44C3CE14" w14:textId="77777777" w:rsidR="00CC761D" w:rsidRPr="00CC4711" w:rsidRDefault="00CC761D" w:rsidP="00CC761D">
            <w:pPr>
              <w:tabs>
                <w:tab w:val="left" w:pos="1021"/>
                <w:tab w:val="left" w:pos="8080"/>
              </w:tabs>
              <w:spacing w:after="0" w:line="240" w:lineRule="auto"/>
              <w:rPr>
                <w:rFonts w:ascii="Calibri" w:eastAsia="Times New Roman" w:hAnsi="Calibri" w:cs="Calibri"/>
                <w:snapToGrid w:val="0"/>
                <w:lang w:eastAsia="es-ES"/>
              </w:rPr>
            </w:pPr>
            <w:r w:rsidRPr="00CC4711">
              <w:rPr>
                <w:rFonts w:ascii="Calibri" w:eastAsia="Times New Roman" w:hAnsi="Calibri" w:cs="Calibri"/>
                <w:snapToGrid w:val="0"/>
                <w:lang w:eastAsia="es-ES"/>
              </w:rPr>
              <w:t xml:space="preserve">MINISTERIO </w:t>
            </w:r>
          </w:p>
          <w:p w14:paraId="5789FC35" w14:textId="0B1B4054" w:rsidR="00FC02A4" w:rsidRDefault="00CC761D" w:rsidP="00CC761D">
            <w:pPr>
              <w:tabs>
                <w:tab w:val="left" w:pos="1021"/>
                <w:tab w:val="left" w:pos="8080"/>
              </w:tabs>
              <w:spacing w:after="0" w:line="240" w:lineRule="auto"/>
              <w:rPr>
                <w:rFonts w:ascii="Calibri" w:eastAsia="Times New Roman" w:hAnsi="Calibri" w:cs="Calibri"/>
                <w:snapToGrid w:val="0"/>
                <w:lang w:eastAsia="es-ES"/>
              </w:rPr>
            </w:pPr>
            <w:r w:rsidRPr="00CC4711">
              <w:rPr>
                <w:rFonts w:ascii="Calibri" w:eastAsia="Times New Roman" w:hAnsi="Calibri" w:cs="Calibri"/>
                <w:snapToGrid w:val="0"/>
                <w:lang w:eastAsia="es-ES"/>
              </w:rPr>
              <w:t>DE CIENCIA</w:t>
            </w:r>
            <w:r w:rsidR="00FF3FDE">
              <w:rPr>
                <w:rFonts w:ascii="Calibri" w:eastAsia="Times New Roman" w:hAnsi="Calibri" w:cs="Calibri"/>
                <w:snapToGrid w:val="0"/>
                <w:lang w:eastAsia="es-ES"/>
              </w:rPr>
              <w:t>, INNOVACIÓN</w:t>
            </w:r>
          </w:p>
          <w:p w14:paraId="26C5BB18" w14:textId="716D49C6" w:rsidR="00CC761D" w:rsidRPr="00CC4711" w:rsidRDefault="00FF3FDE" w:rsidP="00CC761D">
            <w:pPr>
              <w:tabs>
                <w:tab w:val="left" w:pos="1021"/>
                <w:tab w:val="left" w:pos="8080"/>
              </w:tabs>
              <w:spacing w:after="0" w:line="240" w:lineRule="auto"/>
              <w:rPr>
                <w:rFonts w:ascii="Calibri" w:eastAsia="Times New Roman" w:hAnsi="Calibri" w:cs="Calibri"/>
                <w:snapToGrid w:val="0"/>
                <w:lang w:eastAsia="es-ES"/>
              </w:rPr>
            </w:pPr>
            <w:r>
              <w:rPr>
                <w:rFonts w:ascii="Calibri" w:eastAsia="Times New Roman" w:hAnsi="Calibri" w:cs="Calibri"/>
                <w:snapToGrid w:val="0"/>
                <w:lang w:eastAsia="es-ES"/>
              </w:rPr>
              <w:t>Y UNIVERSIDADES</w:t>
            </w:r>
          </w:p>
          <w:p w14:paraId="0AA75BCB" w14:textId="3C57911A" w:rsidR="00CC761D" w:rsidRPr="00CC4711" w:rsidRDefault="00CC761D" w:rsidP="00CC761D">
            <w:pPr>
              <w:tabs>
                <w:tab w:val="left" w:pos="1021"/>
                <w:tab w:val="left" w:pos="8080"/>
              </w:tabs>
              <w:spacing w:after="0" w:line="240" w:lineRule="auto"/>
              <w:rPr>
                <w:rFonts w:ascii="Calibri" w:eastAsia="Times New Roman" w:hAnsi="Calibri" w:cs="Calibri"/>
                <w:snapToGrid w:val="0"/>
                <w:lang w:eastAsia="es-ES"/>
              </w:rPr>
            </w:pPr>
          </w:p>
        </w:tc>
      </w:tr>
      <w:tr w:rsidR="00CC4711" w:rsidRPr="00CC4711" w14:paraId="6E92BBC7" w14:textId="77777777" w:rsidTr="00C60AFB">
        <w:tc>
          <w:tcPr>
            <w:tcW w:w="3189" w:type="dxa"/>
          </w:tcPr>
          <w:p w14:paraId="2FC9DF92" w14:textId="77777777" w:rsidR="00CC761D" w:rsidRPr="00CC4711" w:rsidRDefault="00CC761D" w:rsidP="00CC761D">
            <w:pPr>
              <w:tabs>
                <w:tab w:val="left" w:pos="1021"/>
                <w:tab w:val="left" w:pos="8080"/>
              </w:tabs>
              <w:spacing w:after="0" w:line="240" w:lineRule="auto"/>
              <w:rPr>
                <w:rFonts w:ascii="Calibri" w:eastAsia="Times New Roman" w:hAnsi="Calibri" w:cs="Calibri"/>
                <w:lang w:val="es-ES_tradnl" w:eastAsia="es-ES"/>
              </w:rPr>
            </w:pPr>
          </w:p>
        </w:tc>
      </w:tr>
    </w:tbl>
    <w:p w14:paraId="0E3AB609" w14:textId="77777777" w:rsidR="00CC761D" w:rsidRPr="00CC4711" w:rsidRDefault="00CC761D" w:rsidP="00CC761D">
      <w:pPr>
        <w:spacing w:after="0" w:line="240" w:lineRule="auto"/>
        <w:rPr>
          <w:rFonts w:ascii="Calibri" w:eastAsia="Times New Roman" w:hAnsi="Calibri" w:cs="Calibri"/>
          <w:vanish/>
          <w:lang w:val="es-ES_tradnl" w:eastAsia="es-ES"/>
        </w:rPr>
      </w:pPr>
    </w:p>
    <w:tbl>
      <w:tblPr>
        <w:tblpPr w:leftFromText="142" w:rightFromText="142" w:vertAnchor="text" w:horzAnchor="margin" w:tblpXSpec="right" w:tblpY="1"/>
        <w:tblOverlap w:val="never"/>
        <w:tblW w:w="0" w:type="auto"/>
        <w:tblCellMar>
          <w:left w:w="0" w:type="dxa"/>
          <w:right w:w="0" w:type="dxa"/>
        </w:tblCellMar>
        <w:tblLook w:val="0000" w:firstRow="0" w:lastRow="0" w:firstColumn="0" w:lastColumn="0" w:noHBand="0" w:noVBand="0"/>
      </w:tblPr>
      <w:tblGrid>
        <w:gridCol w:w="2478"/>
        <w:gridCol w:w="35"/>
      </w:tblGrid>
      <w:tr w:rsidR="00CC4711" w:rsidRPr="00CC4711" w14:paraId="581C1FFD" w14:textId="77777777" w:rsidTr="00C60AFB">
        <w:tc>
          <w:tcPr>
            <w:tcW w:w="2478" w:type="dxa"/>
          </w:tcPr>
          <w:p w14:paraId="7D662ABE" w14:textId="77777777" w:rsidR="00CC761D" w:rsidRPr="00CC4711" w:rsidRDefault="00CC761D" w:rsidP="00CC761D">
            <w:pPr>
              <w:tabs>
                <w:tab w:val="left" w:pos="1021"/>
                <w:tab w:val="left" w:pos="8080"/>
              </w:tabs>
              <w:spacing w:after="0" w:line="240" w:lineRule="auto"/>
              <w:jc w:val="right"/>
              <w:rPr>
                <w:rFonts w:ascii="Calibri" w:eastAsia="Times New Roman" w:hAnsi="Calibri" w:cs="Calibri"/>
                <w:lang w:val="es-ES_tradnl" w:eastAsia="es-ES"/>
              </w:rPr>
            </w:pPr>
          </w:p>
        </w:tc>
        <w:tc>
          <w:tcPr>
            <w:tcW w:w="35" w:type="dxa"/>
            <w:tcBorders>
              <w:right w:val="single" w:sz="4" w:space="0" w:color="auto"/>
            </w:tcBorders>
          </w:tcPr>
          <w:p w14:paraId="5382B30F" w14:textId="77777777" w:rsidR="00CC761D" w:rsidRPr="00CC4711" w:rsidRDefault="00CC761D" w:rsidP="00CC761D">
            <w:pPr>
              <w:tabs>
                <w:tab w:val="left" w:pos="1021"/>
                <w:tab w:val="left" w:pos="8080"/>
              </w:tabs>
              <w:spacing w:after="0" w:line="240" w:lineRule="auto"/>
              <w:jc w:val="right"/>
              <w:rPr>
                <w:rFonts w:ascii="Calibri" w:eastAsia="Times New Roman" w:hAnsi="Calibri" w:cs="Calibri"/>
                <w:lang w:val="es-ES_tradnl" w:eastAsia="es-ES"/>
              </w:rPr>
            </w:pPr>
          </w:p>
        </w:tc>
      </w:tr>
      <w:tr w:rsidR="00CC4711" w:rsidRPr="00CC4711" w14:paraId="0FC06C3D" w14:textId="77777777" w:rsidTr="00C60AFB">
        <w:trPr>
          <w:trHeight w:hRule="exact" w:val="57"/>
        </w:trPr>
        <w:tc>
          <w:tcPr>
            <w:tcW w:w="2478" w:type="dxa"/>
          </w:tcPr>
          <w:p w14:paraId="4A040912" w14:textId="77777777" w:rsidR="00CC761D" w:rsidRPr="00CC4711" w:rsidRDefault="00CC761D" w:rsidP="00CC761D">
            <w:pPr>
              <w:tabs>
                <w:tab w:val="left" w:pos="1021"/>
                <w:tab w:val="left" w:pos="8080"/>
              </w:tabs>
              <w:spacing w:after="0" w:line="240" w:lineRule="auto"/>
              <w:jc w:val="right"/>
              <w:rPr>
                <w:rFonts w:ascii="Calibri" w:eastAsia="Times New Roman" w:hAnsi="Calibri" w:cs="Calibri"/>
                <w:lang w:val="es-ES_tradnl" w:eastAsia="es-ES"/>
              </w:rPr>
            </w:pPr>
          </w:p>
        </w:tc>
        <w:tc>
          <w:tcPr>
            <w:tcW w:w="35" w:type="dxa"/>
          </w:tcPr>
          <w:p w14:paraId="17DCE16A" w14:textId="77777777" w:rsidR="00CC761D" w:rsidRPr="00CC4711" w:rsidRDefault="00CC761D" w:rsidP="00CC761D">
            <w:pPr>
              <w:tabs>
                <w:tab w:val="left" w:pos="1021"/>
                <w:tab w:val="left" w:pos="8080"/>
              </w:tabs>
              <w:spacing w:after="0" w:line="240" w:lineRule="auto"/>
              <w:jc w:val="right"/>
              <w:rPr>
                <w:rFonts w:ascii="Calibri" w:eastAsia="Times New Roman" w:hAnsi="Calibri" w:cs="Calibri"/>
                <w:lang w:val="es-ES_tradnl" w:eastAsia="es-ES"/>
              </w:rPr>
            </w:pPr>
          </w:p>
        </w:tc>
      </w:tr>
      <w:tr w:rsidR="00CC4711" w:rsidRPr="00CC4711" w14:paraId="72ED4EDA" w14:textId="77777777" w:rsidTr="00C60AFB">
        <w:trPr>
          <w:trHeight w:val="211"/>
        </w:trPr>
        <w:tc>
          <w:tcPr>
            <w:tcW w:w="2478" w:type="dxa"/>
            <w:tcMar>
              <w:top w:w="57" w:type="dxa"/>
              <w:left w:w="57" w:type="dxa"/>
              <w:bottom w:w="57" w:type="dxa"/>
            </w:tcMar>
          </w:tcPr>
          <w:p w14:paraId="640513A2" w14:textId="77777777" w:rsidR="00CC761D" w:rsidRPr="00CC4711" w:rsidRDefault="00CC761D" w:rsidP="00CC761D">
            <w:pPr>
              <w:tabs>
                <w:tab w:val="left" w:pos="1021"/>
                <w:tab w:val="left" w:pos="8080"/>
              </w:tabs>
              <w:spacing w:after="0" w:line="240" w:lineRule="auto"/>
              <w:jc w:val="right"/>
              <w:rPr>
                <w:rFonts w:ascii="Calibri" w:eastAsia="Times New Roman" w:hAnsi="Calibri" w:cs="Calibri"/>
                <w:lang w:val="es-ES_tradnl" w:eastAsia="es-ES"/>
              </w:rPr>
            </w:pPr>
          </w:p>
        </w:tc>
        <w:tc>
          <w:tcPr>
            <w:tcW w:w="35" w:type="dxa"/>
          </w:tcPr>
          <w:p w14:paraId="31CF25E3" w14:textId="77777777" w:rsidR="00CC761D" w:rsidRPr="00CC4711" w:rsidRDefault="00CC761D" w:rsidP="00CC761D">
            <w:pPr>
              <w:tabs>
                <w:tab w:val="left" w:pos="1021"/>
                <w:tab w:val="left" w:pos="8080"/>
              </w:tabs>
              <w:spacing w:after="0" w:line="240" w:lineRule="auto"/>
              <w:jc w:val="right"/>
              <w:rPr>
                <w:rFonts w:ascii="Calibri" w:eastAsia="Times New Roman" w:hAnsi="Calibri" w:cs="Calibri"/>
                <w:lang w:val="es-ES_tradnl" w:eastAsia="es-ES"/>
              </w:rPr>
            </w:pPr>
          </w:p>
        </w:tc>
      </w:tr>
    </w:tbl>
    <w:p w14:paraId="14F6F5C9" w14:textId="77777777" w:rsidR="00CC761D" w:rsidRPr="00CC4711" w:rsidRDefault="00CC761D" w:rsidP="00CC761D">
      <w:pPr>
        <w:tabs>
          <w:tab w:val="left" w:pos="1021"/>
          <w:tab w:val="left" w:pos="8080"/>
        </w:tabs>
        <w:spacing w:after="0" w:line="240" w:lineRule="auto"/>
        <w:ind w:left="-284"/>
        <w:rPr>
          <w:rFonts w:ascii="Calibri" w:eastAsia="Times New Roman" w:hAnsi="Calibri" w:cs="Calibri"/>
          <w:lang w:val="es-ES_tradnl" w:eastAsia="es-ES"/>
        </w:rPr>
      </w:pPr>
      <w:r w:rsidRPr="00CC4711">
        <w:rPr>
          <w:rFonts w:ascii="Calibri" w:eastAsia="Times New Roman" w:hAnsi="Calibri" w:cs="Calibri"/>
          <w:noProof/>
          <w:lang w:eastAsia="es-ES"/>
        </w:rPr>
        <w:drawing>
          <wp:anchor distT="0" distB="0" distL="114300" distR="114300" simplePos="0" relativeHeight="251659264" behindDoc="0" locked="0" layoutInCell="1" allowOverlap="1" wp14:anchorId="62DB3530" wp14:editId="0E94587E">
            <wp:simplePos x="0" y="0"/>
            <wp:positionH relativeFrom="column">
              <wp:posOffset>-292100</wp:posOffset>
            </wp:positionH>
            <wp:positionV relativeFrom="paragraph">
              <wp:posOffset>95250</wp:posOffset>
            </wp:positionV>
            <wp:extent cx="838200" cy="876300"/>
            <wp:effectExtent l="0" t="0" r="0" b="0"/>
            <wp:wrapSquare wrapText="bothSides"/>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anchor>
        </w:drawing>
      </w:r>
      <w:r w:rsidRPr="00CC4711">
        <w:rPr>
          <w:rFonts w:ascii="Calibri" w:eastAsia="Times New Roman" w:hAnsi="Calibri" w:cs="Calibri"/>
          <w:lang w:val="es-ES_tradnl" w:eastAsia="es-ES"/>
        </w:rPr>
        <w:br w:type="textWrapping" w:clear="all"/>
      </w:r>
    </w:p>
    <w:p w14:paraId="613FEBC5" w14:textId="77777777" w:rsidR="00CC761D" w:rsidRPr="00DD59F0" w:rsidRDefault="00CC761D" w:rsidP="00CC761D">
      <w:pPr>
        <w:keepNext/>
        <w:spacing w:after="0" w:line="240" w:lineRule="auto"/>
        <w:outlineLvl w:val="2"/>
        <w:rPr>
          <w:rFonts w:ascii="Calibri" w:eastAsia="Times New Roman" w:hAnsi="Calibri" w:cs="Calibri"/>
          <w:snapToGrid w:val="0"/>
          <w:spacing w:val="324"/>
          <w:lang w:eastAsia="es-ES"/>
        </w:rPr>
      </w:pPr>
    </w:p>
    <w:tbl>
      <w:tblPr>
        <w:tblW w:w="9551" w:type="dxa"/>
        <w:tblCellMar>
          <w:left w:w="70" w:type="dxa"/>
          <w:right w:w="70" w:type="dxa"/>
        </w:tblCellMar>
        <w:tblLook w:val="0000" w:firstRow="0" w:lastRow="0" w:firstColumn="0" w:lastColumn="0" w:noHBand="0" w:noVBand="0"/>
      </w:tblPr>
      <w:tblGrid>
        <w:gridCol w:w="9551"/>
      </w:tblGrid>
      <w:tr w:rsidR="00CC4711" w:rsidRPr="00CC4711" w14:paraId="27F5632A" w14:textId="77777777" w:rsidTr="00C60AFB">
        <w:tc>
          <w:tcPr>
            <w:tcW w:w="9551" w:type="dxa"/>
          </w:tcPr>
          <w:p w14:paraId="6C44D6E8" w14:textId="77777777" w:rsidR="00CC761D" w:rsidRPr="00DD59F0" w:rsidRDefault="00CC761D" w:rsidP="00CC761D">
            <w:pPr>
              <w:tabs>
                <w:tab w:val="left" w:pos="1134"/>
              </w:tabs>
              <w:spacing w:after="0" w:line="240" w:lineRule="auto"/>
              <w:rPr>
                <w:rFonts w:ascii="Calibri" w:eastAsia="Times New Roman" w:hAnsi="Calibri" w:cs="Calibri"/>
                <w:b/>
                <w:spacing w:val="324"/>
                <w:lang w:eastAsia="es-ES"/>
              </w:rPr>
            </w:pPr>
          </w:p>
        </w:tc>
      </w:tr>
    </w:tbl>
    <w:p w14:paraId="0BEA16DB" w14:textId="77777777" w:rsidR="00CC761D" w:rsidRPr="00CC4711" w:rsidRDefault="00CC761D" w:rsidP="00CC761D">
      <w:pPr>
        <w:keepNext/>
        <w:spacing w:after="0" w:line="240" w:lineRule="auto"/>
        <w:outlineLvl w:val="2"/>
        <w:rPr>
          <w:rFonts w:ascii="Calibri" w:eastAsia="Times New Roman" w:hAnsi="Calibri" w:cs="Calibri"/>
          <w:b/>
          <w:snapToGrid w:val="0"/>
          <w:lang w:eastAsia="es-ES"/>
        </w:rPr>
        <w:sectPr w:rsidR="00CC761D" w:rsidRPr="00CC4711" w:rsidSect="00CC761D">
          <w:headerReference w:type="even" r:id="rId11"/>
          <w:headerReference w:type="default" r:id="rId12"/>
          <w:footerReference w:type="even" r:id="rId13"/>
          <w:footerReference w:type="default" r:id="rId14"/>
          <w:headerReference w:type="first" r:id="rId15"/>
          <w:footerReference w:type="first" r:id="rId16"/>
          <w:pgSz w:w="11906" w:h="16838" w:code="9"/>
          <w:pgMar w:top="992" w:right="567" w:bottom="255" w:left="794" w:header="567" w:footer="1010" w:gutter="0"/>
          <w:cols w:space="720" w:equalWidth="0">
            <w:col w:w="9411"/>
          </w:cols>
          <w:titlePg/>
        </w:sectPr>
      </w:pPr>
    </w:p>
    <w:p w14:paraId="2E7B85CF" w14:textId="77777777" w:rsidR="00CC761D" w:rsidRPr="00CC4711" w:rsidRDefault="00CC761D" w:rsidP="00CC761D">
      <w:pPr>
        <w:spacing w:after="0" w:line="240" w:lineRule="auto"/>
        <w:rPr>
          <w:rFonts w:ascii="Calibri" w:eastAsia="Times New Roman" w:hAnsi="Calibri" w:cs="Calibri"/>
          <w:lang w:val="es-ES_tradnl" w:eastAsia="es-ES"/>
        </w:rPr>
      </w:pPr>
    </w:p>
    <w:p w14:paraId="53C91D28" w14:textId="77777777" w:rsidR="00CC761D" w:rsidRPr="00CC4711" w:rsidRDefault="00CC761D" w:rsidP="00CC761D">
      <w:pPr>
        <w:spacing w:after="0" w:line="240" w:lineRule="auto"/>
        <w:rPr>
          <w:rFonts w:ascii="Calibri" w:eastAsia="Times New Roman" w:hAnsi="Calibri" w:cs="Calibri"/>
          <w:lang w:val="es-ES_tradnl" w:eastAsia="es-ES"/>
        </w:rPr>
      </w:pPr>
    </w:p>
    <w:p w14:paraId="657061E5" w14:textId="77777777" w:rsidR="00CC761D" w:rsidRPr="00CC4711" w:rsidRDefault="00CC761D" w:rsidP="00CC761D">
      <w:pPr>
        <w:spacing w:after="0" w:line="240" w:lineRule="auto"/>
        <w:rPr>
          <w:rFonts w:ascii="Calibri" w:eastAsia="Times New Roman" w:hAnsi="Calibri" w:cs="Calibri"/>
          <w:lang w:val="es-ES_tradnl" w:eastAsia="es-ES"/>
        </w:rPr>
      </w:pPr>
    </w:p>
    <w:p w14:paraId="23686A48" w14:textId="77777777" w:rsidR="00CC761D" w:rsidRPr="00CC4711" w:rsidRDefault="00CC761D" w:rsidP="00CC761D">
      <w:pPr>
        <w:spacing w:after="0" w:line="240" w:lineRule="auto"/>
        <w:rPr>
          <w:rFonts w:ascii="Calibri" w:eastAsia="Times New Roman" w:hAnsi="Calibri" w:cs="Calibri"/>
          <w:lang w:val="es-ES_tradnl" w:eastAsia="es-ES"/>
        </w:rPr>
      </w:pPr>
    </w:p>
    <w:p w14:paraId="77C208B2" w14:textId="77777777" w:rsidR="00CC761D" w:rsidRPr="00CC4711" w:rsidRDefault="00CC761D" w:rsidP="00CC761D">
      <w:pPr>
        <w:spacing w:after="0" w:line="240" w:lineRule="auto"/>
        <w:rPr>
          <w:rFonts w:ascii="Calibri" w:eastAsia="Times New Roman" w:hAnsi="Calibri" w:cs="Calibri"/>
          <w:lang w:val="es-ES_tradnl" w:eastAsia="es-ES"/>
        </w:rPr>
      </w:pPr>
    </w:p>
    <w:p w14:paraId="69D48BDF" w14:textId="77777777" w:rsidR="00CC761D" w:rsidRPr="00CC4711" w:rsidRDefault="00CC761D" w:rsidP="00CC761D">
      <w:pPr>
        <w:spacing w:after="0" w:line="240" w:lineRule="auto"/>
        <w:jc w:val="both"/>
        <w:rPr>
          <w:rFonts w:ascii="Calibri" w:eastAsia="Times New Roman" w:hAnsi="Calibri" w:cs="Calibri"/>
          <w:b/>
          <w:lang w:val="es-ES_tradnl" w:eastAsia="es-ES"/>
        </w:rPr>
      </w:pPr>
    </w:p>
    <w:p w14:paraId="1A06E9EB" w14:textId="77777777" w:rsidR="00CC761D" w:rsidRPr="00CC4711" w:rsidRDefault="00CC761D" w:rsidP="00CC761D">
      <w:pPr>
        <w:spacing w:after="0" w:line="240" w:lineRule="auto"/>
        <w:jc w:val="both"/>
        <w:rPr>
          <w:rFonts w:ascii="Calibri" w:eastAsia="Times New Roman" w:hAnsi="Calibri" w:cs="Calibri"/>
          <w:b/>
          <w:lang w:val="es-ES_tradnl" w:eastAsia="es-ES"/>
        </w:rPr>
      </w:pPr>
    </w:p>
    <w:p w14:paraId="1648922C" w14:textId="77777777" w:rsidR="00CC761D" w:rsidRPr="00CC4711" w:rsidRDefault="00CC761D" w:rsidP="00CC761D">
      <w:pPr>
        <w:spacing w:after="0" w:line="240" w:lineRule="auto"/>
        <w:jc w:val="center"/>
        <w:rPr>
          <w:rFonts w:ascii="Calibri" w:eastAsia="Times New Roman" w:hAnsi="Calibri" w:cs="Calibri"/>
          <w:b/>
          <w:u w:val="single"/>
          <w:lang w:val="es-ES_tradnl" w:eastAsia="es-ES"/>
        </w:rPr>
      </w:pPr>
      <w:r w:rsidRPr="00CC4711">
        <w:rPr>
          <w:rFonts w:ascii="Calibri" w:eastAsia="Times New Roman" w:hAnsi="Calibri" w:cs="Calibri"/>
          <w:b/>
          <w:u w:val="single"/>
          <w:lang w:val="es-ES_tradnl" w:eastAsia="es-ES"/>
        </w:rPr>
        <w:t>MEMORIA ABREVIADA DE ANÁLISIS DE IMPACTO NORMATIVO</w:t>
      </w:r>
    </w:p>
    <w:p w14:paraId="791C657E" w14:textId="77FE2182" w:rsidR="00CC761D" w:rsidRDefault="00CC761D" w:rsidP="00CC761D">
      <w:pPr>
        <w:spacing w:after="0" w:line="240" w:lineRule="auto"/>
        <w:jc w:val="both"/>
        <w:rPr>
          <w:rFonts w:ascii="Calibri" w:eastAsia="Times New Roman" w:hAnsi="Calibri" w:cs="Calibri"/>
          <w:b/>
          <w:lang w:val="es-ES_tradnl" w:eastAsia="es-ES"/>
        </w:rPr>
      </w:pPr>
    </w:p>
    <w:p w14:paraId="6B5861A6" w14:textId="77777777" w:rsidR="00E024DE" w:rsidRPr="00CC4711" w:rsidRDefault="00E024DE" w:rsidP="00CC761D">
      <w:pPr>
        <w:spacing w:after="0" w:line="240" w:lineRule="auto"/>
        <w:jc w:val="both"/>
        <w:rPr>
          <w:rFonts w:ascii="Calibri" w:eastAsia="Times New Roman" w:hAnsi="Calibri" w:cs="Calibri"/>
          <w:b/>
          <w:lang w:val="es-ES_tradnl" w:eastAsia="es-ES"/>
        </w:rPr>
      </w:pPr>
    </w:p>
    <w:p w14:paraId="516E85DD" w14:textId="77777777" w:rsidR="00CC761D" w:rsidRPr="00CC4711" w:rsidRDefault="00CC761D" w:rsidP="00CC761D">
      <w:pPr>
        <w:spacing w:after="0" w:line="240" w:lineRule="auto"/>
        <w:jc w:val="both"/>
        <w:rPr>
          <w:rFonts w:ascii="Calibri" w:eastAsia="Times New Roman" w:hAnsi="Calibri" w:cs="Calibri"/>
          <w:b/>
          <w:lang w:val="es-ES_tradnl" w:eastAsia="es-ES"/>
        </w:rPr>
      </w:pPr>
    </w:p>
    <w:p w14:paraId="18124920" w14:textId="20E5F4E0" w:rsidR="00CC761D" w:rsidRPr="008668EF" w:rsidRDefault="008668EF" w:rsidP="007638BE">
      <w:pPr>
        <w:pBdr>
          <w:bottom w:val="single" w:sz="6" w:space="1" w:color="auto"/>
        </w:pBdr>
        <w:spacing w:line="276" w:lineRule="auto"/>
        <w:jc w:val="both"/>
        <w:rPr>
          <w:rFonts w:eastAsia="Times New Roman" w:cstheme="minorHAnsi"/>
          <w:b/>
          <w:color w:val="000000" w:themeColor="text1"/>
          <w:lang w:val="es-ES_tradnl" w:eastAsia="es-ES"/>
        </w:rPr>
      </w:pPr>
      <w:r w:rsidRPr="008668EF">
        <w:rPr>
          <w:rFonts w:eastAsia="Times New Roman" w:cstheme="minorHAnsi"/>
          <w:bCs/>
          <w:color w:val="000000" w:themeColor="text1"/>
          <w:lang w:val="es-ES_tradnl" w:eastAsia="es-ES"/>
        </w:rPr>
        <w:t>Proyecto de</w:t>
      </w:r>
      <w:r w:rsidR="00E024DE" w:rsidRPr="008668EF">
        <w:rPr>
          <w:rFonts w:eastAsia="Times New Roman" w:cstheme="minorHAnsi"/>
          <w:b/>
          <w:color w:val="000000" w:themeColor="text1"/>
          <w:lang w:val="es-ES_tradnl" w:eastAsia="es-ES"/>
        </w:rPr>
        <w:t xml:space="preserve"> </w:t>
      </w:r>
      <w:r w:rsidR="000632DB" w:rsidRPr="008668EF">
        <w:rPr>
          <w:rFonts w:cstheme="minorHAnsi"/>
          <w:bCs/>
          <w:color w:val="000000" w:themeColor="text1"/>
        </w:rPr>
        <w:t>Real Decreto por el que se regula la concesión directa de subvenciones a entidades que prestan servicios de interés general al sistema español de ciencia y tecnología</w:t>
      </w:r>
      <w:r w:rsidR="000632DB" w:rsidRPr="008668EF">
        <w:rPr>
          <w:rFonts w:eastAsia="Times New Roman" w:cstheme="minorHAnsi"/>
          <w:b/>
          <w:color w:val="000000" w:themeColor="text1"/>
          <w:lang w:eastAsia="es-ES"/>
        </w:rPr>
        <w:t xml:space="preserve"> </w:t>
      </w:r>
    </w:p>
    <w:p w14:paraId="108C224D" w14:textId="77777777" w:rsidR="00CC761D" w:rsidRPr="00CC4711" w:rsidRDefault="00CC761D" w:rsidP="00CC761D">
      <w:pPr>
        <w:spacing w:after="0" w:line="240" w:lineRule="auto"/>
        <w:jc w:val="both"/>
        <w:rPr>
          <w:rFonts w:ascii="Calibri" w:eastAsia="Times New Roman" w:hAnsi="Calibri" w:cs="Calibri"/>
          <w:lang w:val="es-ES_tradnl" w:eastAsia="es-ES"/>
        </w:rPr>
      </w:pPr>
    </w:p>
    <w:p w14:paraId="6B0C96FF" w14:textId="77777777" w:rsidR="00CC761D" w:rsidRPr="00CC4711" w:rsidRDefault="00CC761D" w:rsidP="00CC761D">
      <w:pPr>
        <w:spacing w:after="0" w:line="240" w:lineRule="auto"/>
        <w:jc w:val="both"/>
        <w:rPr>
          <w:rFonts w:ascii="Calibri" w:eastAsia="Times New Roman" w:hAnsi="Calibri" w:cs="Calibri"/>
          <w:lang w:val="es-ES_tradnl" w:eastAsia="es-ES"/>
        </w:rPr>
      </w:pPr>
    </w:p>
    <w:p w14:paraId="5D09A939" w14:textId="77777777" w:rsidR="00CC761D" w:rsidRPr="00CC4711" w:rsidRDefault="00CC761D" w:rsidP="00CC761D">
      <w:pPr>
        <w:spacing w:after="0" w:line="240" w:lineRule="auto"/>
        <w:jc w:val="both"/>
        <w:rPr>
          <w:rFonts w:ascii="Calibri" w:eastAsia="Times New Roman" w:hAnsi="Calibri" w:cs="Calibri"/>
          <w:lang w:val="es-ES_tradnl" w:eastAsia="es-ES"/>
        </w:rPr>
      </w:pPr>
    </w:p>
    <w:p w14:paraId="56ADE1D2" w14:textId="77777777" w:rsidR="00CC761D" w:rsidRPr="00CC4711" w:rsidRDefault="00CC761D" w:rsidP="00CC761D">
      <w:pPr>
        <w:spacing w:after="0" w:line="240" w:lineRule="auto"/>
        <w:jc w:val="both"/>
        <w:rPr>
          <w:rFonts w:ascii="Calibri" w:eastAsia="Times New Roman" w:hAnsi="Calibri" w:cs="Calibri"/>
          <w:lang w:val="es-ES_tradnl" w:eastAsia="es-ES"/>
        </w:rPr>
      </w:pPr>
    </w:p>
    <w:p w14:paraId="67BD27A1" w14:textId="77777777" w:rsidR="00CC761D" w:rsidRPr="00CC4711" w:rsidRDefault="00CC761D" w:rsidP="00CC761D">
      <w:pPr>
        <w:spacing w:after="0" w:line="240" w:lineRule="auto"/>
        <w:jc w:val="both"/>
        <w:rPr>
          <w:rFonts w:ascii="Calibri" w:eastAsia="Times New Roman" w:hAnsi="Calibri" w:cs="Calibri"/>
          <w:lang w:val="es-ES_tradnl" w:eastAsia="es-ES"/>
        </w:rPr>
      </w:pPr>
    </w:p>
    <w:p w14:paraId="5EA62C5E" w14:textId="77777777" w:rsidR="00CC761D" w:rsidRPr="00CC4711" w:rsidRDefault="00CC761D" w:rsidP="00CC761D">
      <w:pPr>
        <w:spacing w:after="0" w:line="240" w:lineRule="auto"/>
        <w:jc w:val="both"/>
        <w:rPr>
          <w:rFonts w:ascii="Calibri" w:eastAsia="Times New Roman" w:hAnsi="Calibri" w:cs="Calibri"/>
          <w:lang w:val="es-ES_tradnl" w:eastAsia="es-ES"/>
        </w:rPr>
      </w:pPr>
    </w:p>
    <w:p w14:paraId="28010D08" w14:textId="77777777" w:rsidR="00CC761D" w:rsidRPr="00CC4711" w:rsidRDefault="00CC761D" w:rsidP="00CC761D">
      <w:pPr>
        <w:spacing w:after="0" w:line="240" w:lineRule="auto"/>
        <w:jc w:val="both"/>
        <w:rPr>
          <w:rFonts w:ascii="Calibri" w:eastAsia="Times New Roman" w:hAnsi="Calibri" w:cs="Calibri"/>
          <w:lang w:val="es-ES_tradnl" w:eastAsia="es-ES"/>
        </w:rPr>
      </w:pPr>
    </w:p>
    <w:p w14:paraId="4B5DC18D" w14:textId="1C44686D" w:rsidR="00CC761D" w:rsidRPr="00CC4711" w:rsidRDefault="00664356" w:rsidP="00CC761D">
      <w:pPr>
        <w:spacing w:after="0" w:line="240" w:lineRule="auto"/>
        <w:jc w:val="right"/>
        <w:rPr>
          <w:rFonts w:ascii="Calibri" w:eastAsia="Times New Roman" w:hAnsi="Calibri" w:cs="Calibri"/>
          <w:lang w:val="es-ES_tradnl" w:eastAsia="es-ES"/>
        </w:rPr>
      </w:pPr>
      <w:r>
        <w:rPr>
          <w:rFonts w:ascii="Calibri" w:eastAsia="Times New Roman" w:hAnsi="Calibri" w:cs="Calibri"/>
          <w:b/>
          <w:lang w:val="es-ES_tradnl" w:eastAsia="es-ES"/>
        </w:rPr>
        <w:t>5 de septiembre de 2025</w:t>
      </w:r>
      <w:r w:rsidR="00CC761D" w:rsidRPr="00CC4711">
        <w:rPr>
          <w:rFonts w:ascii="Calibri" w:eastAsia="Times New Roman" w:hAnsi="Calibri" w:cs="Calibri"/>
          <w:lang w:val="es-ES_tradnl" w:eastAsia="es-ES"/>
        </w:rPr>
        <w:br w:type="page"/>
      </w:r>
    </w:p>
    <w:p w14:paraId="66D7094C" w14:textId="77777777" w:rsidR="00CC761D" w:rsidRPr="00CC4711" w:rsidRDefault="00CC761D" w:rsidP="00CC761D">
      <w:pPr>
        <w:keepNext/>
        <w:widowControl w:val="0"/>
        <w:spacing w:after="0" w:line="240" w:lineRule="auto"/>
        <w:jc w:val="center"/>
        <w:outlineLvl w:val="1"/>
        <w:rPr>
          <w:rFonts w:ascii="Calibri" w:eastAsia="Times New Roman" w:hAnsi="Calibri" w:cs="Calibri"/>
          <w:b/>
          <w:lang w:val="es-ES_tradnl" w:eastAsia="es-ES"/>
        </w:rPr>
      </w:pPr>
      <w:r w:rsidRPr="00CC4711">
        <w:rPr>
          <w:rFonts w:ascii="Calibri" w:eastAsia="Times New Roman" w:hAnsi="Calibri" w:cs="Calibri"/>
          <w:b/>
          <w:lang w:val="es-ES_tradnl" w:eastAsia="es-ES"/>
        </w:rPr>
        <w:lastRenderedPageBreak/>
        <w:t>FICHA RESUMEN EJECUTIVO</w:t>
      </w:r>
    </w:p>
    <w:p w14:paraId="628CA8F6" w14:textId="77777777" w:rsidR="00CC761D" w:rsidRPr="00CC4711" w:rsidRDefault="00CC761D" w:rsidP="00CC761D">
      <w:pPr>
        <w:spacing w:after="0" w:line="240" w:lineRule="auto"/>
        <w:jc w:val="both"/>
        <w:rPr>
          <w:rFonts w:ascii="Calibri" w:eastAsia="Times New Roman" w:hAnsi="Calibri" w:cs="Calibri"/>
          <w:b/>
          <w:lang w:val="es-ES_tradnl" w:eastAsia="es-ES"/>
        </w:rPr>
      </w:pPr>
    </w:p>
    <w:tbl>
      <w:tblPr>
        <w:tblW w:w="9684" w:type="dxa"/>
        <w:jc w:val="center"/>
        <w:shd w:val="clear" w:color="auto" w:fill="EEFFEB"/>
        <w:tblLayout w:type="fixed"/>
        <w:tblLook w:val="0000" w:firstRow="0" w:lastRow="0" w:firstColumn="0" w:lastColumn="0" w:noHBand="0" w:noVBand="0"/>
      </w:tblPr>
      <w:tblGrid>
        <w:gridCol w:w="3077"/>
        <w:gridCol w:w="3300"/>
        <w:gridCol w:w="973"/>
        <w:gridCol w:w="863"/>
        <w:gridCol w:w="1471"/>
      </w:tblGrid>
      <w:tr w:rsidR="00CC4711" w:rsidRPr="00CC4711" w14:paraId="03BF4320" w14:textId="77777777" w:rsidTr="00C60AFB">
        <w:trPr>
          <w:cantSplit/>
          <w:trHeight w:val="1000"/>
          <w:jc w:val="center"/>
        </w:trPr>
        <w:tc>
          <w:tcPr>
            <w:tcW w:w="3077" w:type="dxa"/>
            <w:tcBorders>
              <w:top w:val="single" w:sz="32"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493AC4FA" w14:textId="77777777" w:rsidR="00CC761D" w:rsidRPr="00CC4711" w:rsidRDefault="00CC761D" w:rsidP="00CC761D">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Ministerio/Órgano proponente</w:t>
            </w:r>
          </w:p>
        </w:tc>
        <w:tc>
          <w:tcPr>
            <w:tcW w:w="4273" w:type="dxa"/>
            <w:gridSpan w:val="2"/>
            <w:tcBorders>
              <w:top w:val="single" w:sz="32" w:space="0" w:color="000000"/>
              <w:left w:val="single" w:sz="16" w:space="0" w:color="000000"/>
              <w:bottom w:val="single" w:sz="16" w:space="0" w:color="000000"/>
              <w:right w:val="single" w:sz="2" w:space="0" w:color="000000"/>
            </w:tcBorders>
            <w:shd w:val="clear" w:color="auto" w:fill="EEFFEB"/>
            <w:tcMar>
              <w:top w:w="100" w:type="dxa"/>
              <w:left w:w="100" w:type="dxa"/>
              <w:bottom w:w="100" w:type="dxa"/>
              <w:right w:w="100" w:type="dxa"/>
            </w:tcMar>
          </w:tcPr>
          <w:p w14:paraId="6EA37BF7" w14:textId="6F64B27F" w:rsidR="00CC761D" w:rsidRPr="00CC4711" w:rsidRDefault="00CC761D" w:rsidP="00FC02A4">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lang w:val="es-ES_tradnl"/>
              </w:rPr>
              <w:t>MINISTERIO DE CIENCIA</w:t>
            </w:r>
            <w:r w:rsidR="00FF3FDE">
              <w:rPr>
                <w:rFonts w:ascii="Calibri" w:eastAsia="ヒラギノ角ゴ Pro W3" w:hAnsi="Calibri" w:cs="Calibri"/>
                <w:lang w:val="es-ES_tradnl"/>
              </w:rPr>
              <w:t>,</w:t>
            </w:r>
            <w:r w:rsidRPr="00CC4711">
              <w:rPr>
                <w:rFonts w:ascii="Calibri" w:eastAsia="ヒラギノ角ゴ Pro W3" w:hAnsi="Calibri" w:cs="Calibri"/>
                <w:lang w:val="es-ES_tradnl"/>
              </w:rPr>
              <w:t xml:space="preserve"> INNOVACIÓN</w:t>
            </w:r>
            <w:r w:rsidR="00FF3FDE">
              <w:rPr>
                <w:rFonts w:ascii="Calibri" w:eastAsia="ヒラギノ角ゴ Pro W3" w:hAnsi="Calibri" w:cs="Calibri"/>
                <w:lang w:val="es-ES_tradnl"/>
              </w:rPr>
              <w:t xml:space="preserve"> Y UNIVERSIDADES</w:t>
            </w:r>
            <w:r w:rsidRPr="00CC4711">
              <w:rPr>
                <w:rFonts w:ascii="Calibri" w:eastAsia="ヒラギノ角ゴ Pro W3" w:hAnsi="Calibri" w:cs="Calibri"/>
                <w:lang w:val="es-ES_tradnl"/>
              </w:rPr>
              <w:t xml:space="preserve"> </w:t>
            </w:r>
          </w:p>
        </w:tc>
        <w:tc>
          <w:tcPr>
            <w:tcW w:w="863" w:type="dxa"/>
            <w:tcBorders>
              <w:top w:val="single" w:sz="32" w:space="0" w:color="000000"/>
              <w:left w:val="single" w:sz="2" w:space="0" w:color="000000"/>
              <w:bottom w:val="single" w:sz="16" w:space="0" w:color="000000"/>
              <w:right w:val="single" w:sz="2" w:space="0" w:color="000000"/>
            </w:tcBorders>
            <w:shd w:val="clear" w:color="auto" w:fill="E3DFA6"/>
            <w:tcMar>
              <w:top w:w="100" w:type="dxa"/>
              <w:left w:w="100" w:type="dxa"/>
              <w:bottom w:w="100" w:type="dxa"/>
              <w:right w:w="100" w:type="dxa"/>
            </w:tcMar>
          </w:tcPr>
          <w:p w14:paraId="10D7A812" w14:textId="77777777" w:rsidR="00CC761D" w:rsidRPr="00CC4711" w:rsidRDefault="00CC761D" w:rsidP="00CC761D">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Fecha</w:t>
            </w:r>
          </w:p>
        </w:tc>
        <w:tc>
          <w:tcPr>
            <w:tcW w:w="1471" w:type="dxa"/>
            <w:tcBorders>
              <w:top w:val="single" w:sz="32" w:space="0" w:color="000000"/>
              <w:left w:val="single" w:sz="2"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3C577F66" w14:textId="4F259448" w:rsidR="00CC761D" w:rsidRPr="00CC4711" w:rsidRDefault="00664356" w:rsidP="00664356">
            <w:pPr>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s>
              <w:spacing w:before="200" w:after="80" w:line="240" w:lineRule="auto"/>
              <w:rPr>
                <w:rFonts w:ascii="Calibri" w:eastAsia="ヒラギノ角ゴ Pro W3" w:hAnsi="Calibri" w:cs="Calibri"/>
                <w:lang w:val="es-ES_tradnl"/>
              </w:rPr>
            </w:pPr>
            <w:r>
              <w:rPr>
                <w:rFonts w:ascii="Calibri" w:eastAsia="ヒラギノ角ゴ Pro W3" w:hAnsi="Calibri" w:cs="Calibri"/>
                <w:lang w:val="es-ES_tradnl"/>
              </w:rPr>
              <w:t>5 de septiembre de 2025</w:t>
            </w:r>
          </w:p>
        </w:tc>
      </w:tr>
      <w:tr w:rsidR="00CC4711" w:rsidRPr="00CC4711" w14:paraId="567C6100" w14:textId="77777777" w:rsidTr="00C60AFB">
        <w:trPr>
          <w:cantSplit/>
          <w:trHeight w:val="13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5B7ED8A6" w14:textId="77777777" w:rsidR="00CC761D" w:rsidRPr="00CC4711" w:rsidRDefault="00CC761D" w:rsidP="00CC761D">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Título de la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353BE992" w14:textId="5DD16B45" w:rsidR="00CC761D" w:rsidRPr="00FF3FDE" w:rsidRDefault="00CC761D" w:rsidP="00347696">
            <w:pPr>
              <w:spacing w:after="0" w:line="240" w:lineRule="auto"/>
              <w:jc w:val="both"/>
              <w:rPr>
                <w:rFonts w:eastAsia="Times New Roman" w:cstheme="minorHAnsi"/>
                <w:lang w:eastAsia="es-ES"/>
              </w:rPr>
            </w:pPr>
            <w:r w:rsidRPr="008668EF">
              <w:rPr>
                <w:rFonts w:eastAsia="Times New Roman" w:cstheme="minorHAnsi"/>
                <w:color w:val="000000" w:themeColor="text1"/>
                <w:lang w:val="es-ES_tradnl" w:eastAsia="es-ES"/>
              </w:rPr>
              <w:t xml:space="preserve">Proyecto de </w:t>
            </w:r>
            <w:r w:rsidR="000632DB" w:rsidRPr="008668EF">
              <w:rPr>
                <w:rFonts w:cstheme="minorHAnsi"/>
                <w:bCs/>
                <w:color w:val="000000" w:themeColor="text1"/>
              </w:rPr>
              <w:t>Real Decreto por el que se regula la concesión directa de subvenciones a entidades que prestan servicios de interés general al sistema español de ciencia y tecnología</w:t>
            </w:r>
          </w:p>
        </w:tc>
      </w:tr>
      <w:tr w:rsidR="00CC4711" w:rsidRPr="00CC4711" w14:paraId="756E9609" w14:textId="77777777" w:rsidTr="00C60AFB">
        <w:trPr>
          <w:cantSplit/>
          <w:trHeight w:val="54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7CA22A78" w14:textId="77777777" w:rsidR="00CC761D" w:rsidRPr="00CC4711" w:rsidRDefault="00CC761D" w:rsidP="00CC761D">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Tipo de Memoria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44425E4" w14:textId="2CB56688" w:rsidR="00CC761D" w:rsidRPr="00CC4711" w:rsidRDefault="00FC02A4" w:rsidP="00DB3B99">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r>
              <w:rPr>
                <w:rFonts w:ascii="Calibri" w:eastAsia="ヒラギノ角ゴ Pro W3" w:hAnsi="Calibri" w:cs="Calibri"/>
                <w:lang w:val="es-ES_tradnl"/>
              </w:rPr>
              <w:t xml:space="preserve">Normal </w:t>
            </w:r>
            <w:r w:rsidR="00CC761D" w:rsidRPr="00CC4711">
              <w:rPr>
                <w:rFonts w:ascii="Calibri" w:eastAsia="ヒラギノ角ゴ Pro W3" w:hAnsi="Calibri" w:cs="Calibri"/>
                <w:lang w:val="es-ES_tradnl"/>
              </w:rPr>
              <w:t xml:space="preserve"> </w:t>
            </w:r>
            <w:r w:rsidRPr="00CC4711">
              <w:rPr>
                <w:rFonts w:ascii="Calibri" w:eastAsia="ヒラギノ角ゴ Pro W3" w:hAnsi="Calibri" w:cs="Calibri"/>
                <w:noProof/>
                <w:lang w:eastAsia="es-ES"/>
              </w:rPr>
              <mc:AlternateContent>
                <mc:Choice Requires="wps">
                  <w:drawing>
                    <wp:inline distT="0" distB="0" distL="0" distR="0" wp14:anchorId="314B2A72" wp14:editId="2BA83334">
                      <wp:extent cx="165100" cy="177800"/>
                      <wp:effectExtent l="0" t="0" r="0" b="0"/>
                      <wp:docPr id="19" name="Rectangle 2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333333"/>
                                    </a:solidFill>
                                  </a14:hiddenFill>
                                </a:ext>
                              </a:extLst>
                            </wps:spPr>
                            <wps:txbx>
                              <w:txbxContent>
                                <w:p w14:paraId="518A169A" w14:textId="77777777" w:rsidR="00C60AFB" w:rsidRDefault="00C60AFB" w:rsidP="00FC02A4">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14B2A72" id="Rectangle 23" o:spid="_x0000_s102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" filled="f" fillcolor="#333" strokeweight="1pt">
                      <v:path arrowok="t"/>
                      <v:textbox inset="8pt,8pt,8pt,8pt">
                        <w:txbxContent>
                          <w:p w14:paraId="518A169A" w14:textId="77777777" w:rsidR="00C60AFB" w:rsidRDefault="00C60AFB" w:rsidP="00FC02A4">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00CC761D" w:rsidRPr="00CC4711">
              <w:rPr>
                <w:rFonts w:ascii="Calibri" w:eastAsia="ヒラギノ角ゴ Pro W3" w:hAnsi="Calibri" w:cs="Calibri"/>
                <w:lang w:val="es-ES_tradnl"/>
              </w:rPr>
              <w:t xml:space="preserve">        </w:t>
            </w:r>
            <w:r w:rsidR="00DB3B99" w:rsidRPr="00CC4711">
              <w:rPr>
                <w:rFonts w:ascii="Calibri" w:eastAsia="ヒラギノ角ゴ Pro W3" w:hAnsi="Calibri" w:cs="Calibri"/>
                <w:lang w:val="es-ES_tradnl"/>
              </w:rPr>
              <w:t xml:space="preserve">                         </w:t>
            </w:r>
            <w:r w:rsidR="00CC761D" w:rsidRPr="00CC4711">
              <w:rPr>
                <w:rFonts w:ascii="Calibri" w:eastAsia="ヒラギノ角ゴ Pro W3" w:hAnsi="Calibri" w:cs="Calibri"/>
                <w:lang w:val="es-ES_tradnl"/>
              </w:rPr>
              <w:t xml:space="preserve">  Abreviada  </w:t>
            </w:r>
            <w:r w:rsidRPr="00CC4711">
              <w:rPr>
                <w:rFonts w:ascii="Calibri" w:eastAsia="ヒラギノ角ゴ Pro W3" w:hAnsi="Calibri" w:cs="Calibri"/>
                <w:noProof/>
                <w:lang w:eastAsia="es-ES"/>
              </w:rPr>
              <w:t xml:space="preserve"> </w:t>
            </w:r>
            <w:r w:rsidRPr="00CC4711">
              <w:rPr>
                <w:rFonts w:ascii="Calibri" w:eastAsia="ヒラギノ角ゴ Pro W3" w:hAnsi="Calibri" w:cs="Calibri"/>
                <w:noProof/>
                <w:lang w:eastAsia="es-ES"/>
              </w:rPr>
              <mc:AlternateContent>
                <mc:Choice Requires="wps">
                  <w:drawing>
                    <wp:inline distT="0" distB="0" distL="0" distR="0" wp14:anchorId="59230A1F" wp14:editId="30481C28">
                      <wp:extent cx="165100" cy="177800"/>
                      <wp:effectExtent l="0" t="0" r="0" b="0"/>
                      <wp:docPr id="18"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000000"/>
                              </a:solidFill>
                              <a:ln w="12700">
                                <a:solidFill>
                                  <a:srgbClr val="000000"/>
                                </a:solidFill>
                                <a:miter lim="800000"/>
                                <a:headEnd/>
                                <a:tailEnd/>
                              </a:ln>
                            </wps:spPr>
                            <wps:txbx>
                              <w:txbxContent>
                                <w:p w14:paraId="179174E3" w14:textId="77777777" w:rsidR="00C60AFB" w:rsidRDefault="00C60AFB" w:rsidP="00FC02A4">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59230A1F" id="Rectangle 24" o:spid="_x0000_s102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" fillcolor="black" strokeweight="1pt">
                      <v:path arrowok="t"/>
                      <v:textbox inset="8pt,8pt,8pt,8pt">
                        <w:txbxContent>
                          <w:p w14:paraId="179174E3" w14:textId="77777777" w:rsidR="00C60AFB" w:rsidRDefault="00C60AFB" w:rsidP="00FC02A4">
                            <w:pPr>
                              <w:pStyle w:val="Formatolibre"/>
                              <w:rPr>
                                <w:rFonts w:ascii="Times New Roman" w:eastAsia="Times New Roman" w:hAnsi="Times New Roman"/>
                                <w:color w:val="auto"/>
                                <w:sz w:val="20"/>
                                <w:lang w:val="es-ES" w:eastAsia="es-ES" w:bidi="x-none"/>
                              </w:rPr>
                            </w:pPr>
                          </w:p>
                        </w:txbxContent>
                      </v:textbox>
                      <w10:anchorlock/>
                    </v:rect>
                  </w:pict>
                </mc:Fallback>
              </mc:AlternateContent>
            </w:r>
          </w:p>
        </w:tc>
      </w:tr>
      <w:tr w:rsidR="00CC4711" w:rsidRPr="00CC4711" w14:paraId="4ED8BFD9" w14:textId="77777777" w:rsidTr="00C60AFB">
        <w:trPr>
          <w:cantSplit/>
          <w:trHeight w:val="746"/>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ECDF00"/>
            <w:tcMar>
              <w:top w:w="100" w:type="dxa"/>
              <w:left w:w="100" w:type="dxa"/>
              <w:bottom w:w="100" w:type="dxa"/>
              <w:right w:w="100" w:type="dxa"/>
            </w:tcMar>
          </w:tcPr>
          <w:p w14:paraId="2E7EBB00" w14:textId="77777777" w:rsidR="00CC761D" w:rsidRPr="00CC4711" w:rsidRDefault="00CC761D" w:rsidP="00CC761D">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center"/>
              <w:rPr>
                <w:rFonts w:ascii="Calibri" w:eastAsia="ヒラギノ角ゴ Pro W3" w:hAnsi="Calibri" w:cs="Calibri"/>
                <w:b/>
                <w:lang w:val="es-ES_tradnl"/>
              </w:rPr>
            </w:pPr>
            <w:r w:rsidRPr="00CC4711">
              <w:rPr>
                <w:rFonts w:ascii="Calibri" w:eastAsia="ヒラギノ角ゴ Pro W3" w:hAnsi="Calibri" w:cs="Calibri"/>
                <w:b/>
                <w:lang w:val="es-ES_tradnl"/>
              </w:rPr>
              <w:t>OPORTUNIDAD DE LA PROPUESTA</w:t>
            </w:r>
          </w:p>
        </w:tc>
      </w:tr>
      <w:tr w:rsidR="00347696" w:rsidRPr="00CC4711" w14:paraId="737151F7" w14:textId="77777777" w:rsidTr="00C60AFB">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03F49356" w14:textId="660CA959" w:rsidR="00347696" w:rsidRPr="008668EF" w:rsidRDefault="00347696" w:rsidP="00CC761D">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color w:val="000000" w:themeColor="text1"/>
                <w:lang w:val="es-ES_tradnl"/>
              </w:rPr>
            </w:pPr>
            <w:r w:rsidRPr="008668EF">
              <w:rPr>
                <w:rFonts w:ascii="Calibri" w:eastAsia="ヒラギノ角ゴ Pro W3" w:hAnsi="Calibri" w:cs="Calibri"/>
                <w:b/>
                <w:color w:val="000000" w:themeColor="text1"/>
                <w:lang w:val="es-ES_tradnl"/>
              </w:rPr>
              <w:t>Situación que se regula</w:t>
            </w:r>
          </w:p>
          <w:p w14:paraId="30E612F2" w14:textId="00EC4A8C" w:rsidR="00347696" w:rsidRPr="008668EF" w:rsidRDefault="00347696" w:rsidP="00CC761D">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color w:val="000000" w:themeColor="text1"/>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0571A270" w14:textId="3208B50B" w:rsidR="00347696" w:rsidRPr="008668EF" w:rsidRDefault="00F10130" w:rsidP="00145819">
            <w:pPr>
              <w:jc w:val="both"/>
              <w:rPr>
                <w:rFonts w:ascii="Calibri" w:hAnsi="Calibri" w:cs="Calibri"/>
                <w:color w:val="000000" w:themeColor="text1"/>
              </w:rPr>
            </w:pPr>
            <w:r w:rsidRPr="008668EF">
              <w:rPr>
                <w:rFonts w:ascii="Calibri" w:hAnsi="Calibri" w:cs="Calibri"/>
                <w:color w:val="000000" w:themeColor="text1"/>
              </w:rPr>
              <w:t xml:space="preserve">Este real decreto tiene por objeto regular la concesión directa de subvenciones, con carácter excepcional, por razones de interés público, social y económico, a </w:t>
            </w:r>
            <w:r w:rsidR="000632DB" w:rsidRPr="008668EF">
              <w:rPr>
                <w:rFonts w:ascii="Calibri" w:hAnsi="Calibri" w:cs="Calibri"/>
                <w:color w:val="000000" w:themeColor="text1"/>
              </w:rPr>
              <w:t xml:space="preserve">varias entidades que prestan servicios de interés general al sistema español de ciencia y tecnología. </w:t>
            </w:r>
          </w:p>
        </w:tc>
      </w:tr>
      <w:tr w:rsidR="00347696" w:rsidRPr="00CC4711" w14:paraId="77D97C97" w14:textId="77777777" w:rsidTr="00C60AFB">
        <w:trPr>
          <w:trHeight w:val="101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3175334D" w14:textId="5514AEE5" w:rsidR="00347696" w:rsidRPr="008668EF"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color w:val="000000" w:themeColor="text1"/>
                <w:lang w:val="es-ES_tradnl"/>
              </w:rPr>
            </w:pPr>
            <w:r w:rsidRPr="008668EF">
              <w:rPr>
                <w:rFonts w:ascii="Calibri" w:eastAsia="ヒラギノ角ゴ Pro W3" w:hAnsi="Calibri" w:cs="Calibri"/>
                <w:b/>
                <w:color w:val="000000" w:themeColor="text1"/>
                <w:lang w:val="es-ES_tradnl"/>
              </w:rPr>
              <w:t>Objetivos que se persiguen</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7D88E286" w14:textId="5745E607" w:rsidR="004E0271" w:rsidRPr="004E0271" w:rsidRDefault="004E0271" w:rsidP="004E0271">
            <w:pPr>
              <w:spacing w:after="120"/>
              <w:jc w:val="both"/>
              <w:rPr>
                <w:rFonts w:cstheme="minorHAnsi"/>
              </w:rPr>
            </w:pPr>
            <w:r w:rsidRPr="004E0271">
              <w:rPr>
                <w:rFonts w:cstheme="minorHAnsi"/>
              </w:rPr>
              <w:t xml:space="preserve">Este real decreto regula </w:t>
            </w:r>
            <w:r w:rsidR="00497FDF">
              <w:rPr>
                <w:rFonts w:cstheme="minorHAnsi"/>
              </w:rPr>
              <w:t>seis</w:t>
            </w:r>
            <w:r w:rsidR="007F15A9" w:rsidRPr="004E0271">
              <w:rPr>
                <w:rFonts w:cstheme="minorHAnsi"/>
              </w:rPr>
              <w:t xml:space="preserve"> </w:t>
            </w:r>
            <w:r w:rsidRPr="004E0271">
              <w:rPr>
                <w:rFonts w:cstheme="minorHAnsi"/>
              </w:rPr>
              <w:t xml:space="preserve">subvenciones directas para el desarrollo de actuaciones por </w:t>
            </w:r>
            <w:r w:rsidR="00497FDF">
              <w:rPr>
                <w:rFonts w:cstheme="minorHAnsi"/>
              </w:rPr>
              <w:t>tres</w:t>
            </w:r>
            <w:r w:rsidRPr="004E0271">
              <w:rPr>
                <w:rFonts w:cstheme="minorHAnsi"/>
              </w:rPr>
              <w:t xml:space="preserve"> fundaciones, </w:t>
            </w:r>
            <w:r w:rsidR="007F15A9">
              <w:rPr>
                <w:rFonts w:cstheme="minorHAnsi"/>
              </w:rPr>
              <w:t>dos</w:t>
            </w:r>
            <w:r w:rsidR="007F15A9" w:rsidRPr="004E0271">
              <w:rPr>
                <w:rFonts w:cstheme="minorHAnsi"/>
              </w:rPr>
              <w:t xml:space="preserve"> </w:t>
            </w:r>
            <w:r w:rsidRPr="004E0271">
              <w:rPr>
                <w:rFonts w:cstheme="minorHAnsi"/>
              </w:rPr>
              <w:t>universidad</w:t>
            </w:r>
            <w:r w:rsidR="007F15A9">
              <w:rPr>
                <w:rFonts w:cstheme="minorHAnsi"/>
              </w:rPr>
              <w:t>es</w:t>
            </w:r>
            <w:r w:rsidRPr="004E0271">
              <w:rPr>
                <w:rFonts w:cstheme="minorHAnsi"/>
              </w:rPr>
              <w:t xml:space="preserve"> y un consorcio público autonómico que desarrollan servicios esenciales al sistema español de ciencia y tecnología persiguiendo objetivos de interés general y enlazando con objetivos estratégicos marcados por la Estrategia Española de Ciencia, Tecnología e Innovación (EECTI) 2021-2027, que es plan estratégico de subvenciones a efectos de lo dispuesto en la Ley 38/2003, de 17 de noviembre, General de Subvenciones. El Ministerio de Ciencia, Innovación y Universidades articula el ejercicio de sus actuaciones en el marco de la EECTI y en particular las actuaciones previstas en este real decreto contribuirán a los objetivos de contribuir a las prioridades políticas de la UE mediante el alineamiento con sus programas de I+D+I (OE2), potenciar la generación de conocimiento científico-técnico de calidad (OE4), fortalecer las instituciones dedicadas a la I+D+I (OE6) y facilitar la transferencia del conocimiento, todos ellos Objetivos Estratégicos del Plan Estatal de Investigación Científica y Técnica y de Innovación (2021-2023) que representa la concreción de la EECTI.</w:t>
            </w:r>
          </w:p>
          <w:p w14:paraId="07673B19" w14:textId="77777777" w:rsidR="004E0271" w:rsidRPr="004E0271" w:rsidRDefault="004E0271" w:rsidP="004E0271">
            <w:pPr>
              <w:spacing w:after="120"/>
              <w:jc w:val="both"/>
              <w:rPr>
                <w:rFonts w:cstheme="minorHAnsi"/>
              </w:rPr>
            </w:pPr>
            <w:r w:rsidRPr="004E0271">
              <w:rPr>
                <w:rFonts w:cstheme="minorHAnsi"/>
              </w:rPr>
              <w:t>En primer lugar, la concesión de una ayuda a la Fundación PRIMA, permite dar cumplimiento a la iniciativa europea </w:t>
            </w:r>
            <w:r w:rsidRPr="00DD59F0">
              <w:rPr>
                <w:rFonts w:cstheme="minorHAnsi"/>
              </w:rPr>
              <w:t>Partnership for Research and Innovation in the Mediterranean Area</w:t>
            </w:r>
            <w:r w:rsidRPr="004E0271">
              <w:rPr>
                <w:rFonts w:cstheme="minorHAnsi"/>
              </w:rPr>
              <w:t xml:space="preserve">, aprobada, en base al artículo 185 del Tratado de Funcionamiento de la Unión Europea, por </w:t>
            </w:r>
            <w:r w:rsidRPr="004E0271">
              <w:rPr>
                <w:rFonts w:cstheme="minorHAnsi"/>
              </w:rPr>
              <w:lastRenderedPageBreak/>
              <w:t>Decisión (UE) 2017/1324 del Parlamento Europeo y el Consejo, de 4 de julio de 2017, que determina el establecimiento de una estructura común de gestión, con personalidad jurídica propia, para la implementación de los programas de investigación conjunta. En su virtud, se constituye en España la Fundación PRIMA, el 19 de julio de 2017, como fundación privada sin ánimo de lucro, con sujeción a la Ley 50/2002, de 26 de diciembre, de Fundaciones, para el cumplimiento de los fines de interés general que se concretan en sus Estatutos.</w:t>
            </w:r>
          </w:p>
          <w:p w14:paraId="1E52F0D8" w14:textId="77777777" w:rsidR="004E0271" w:rsidRPr="004E0271" w:rsidRDefault="004E0271" w:rsidP="004E0271">
            <w:pPr>
              <w:spacing w:after="120"/>
              <w:jc w:val="both"/>
              <w:rPr>
                <w:rFonts w:cstheme="minorHAnsi"/>
              </w:rPr>
            </w:pPr>
            <w:r w:rsidRPr="004E0271">
              <w:rPr>
                <w:rFonts w:cstheme="minorHAnsi"/>
              </w:rPr>
              <w:t>Su objetivo, prestando un servicio de interés general, es desarrollar conocimiento y capacidades de investigación e innovación y aportar soluciones innovadoras en la región del Mediterráneo para mejorar la disponibilidad de agua, la agricultura sostenible y la producción de alimentos. Los 19 países que forman parte de esta iniciativa de programación conjunta ponen en común recursos financieros para actividades de investigación e innovación que son cofinanciados en un 50 % por la Unión Europea.</w:t>
            </w:r>
          </w:p>
          <w:p w14:paraId="6EEE623C" w14:textId="77777777" w:rsidR="004E0271" w:rsidRDefault="004E0271" w:rsidP="004E0271">
            <w:pPr>
              <w:spacing w:after="120"/>
              <w:jc w:val="both"/>
              <w:rPr>
                <w:rFonts w:cstheme="minorHAnsi"/>
              </w:rPr>
            </w:pPr>
            <w:r w:rsidRPr="004E0271">
              <w:rPr>
                <w:rFonts w:cstheme="minorHAnsi"/>
              </w:rPr>
              <w:t>La ayuda regulada por este real decreto de apoyo al establecimiento y funcionamiento de la Fundación PRIMA en España no debe ser confundida con una «cuota de membresía». La presente subvención se dirige a sufragar los costes administrativos de la Fundación y singularmente el alquiler del espacio en que establece su sede en España. Se trata, por tanto, de una aportación independiente a la que se dedica a la financiación de los proyectos de investigación PRIMA desde las agencias nacionales, que funcionan bajo la premisa de que el presupuesto que pone cada país es destinado a las entidades participantes de los respectivos países.</w:t>
            </w:r>
          </w:p>
          <w:p w14:paraId="1590721A" w14:textId="77777777" w:rsidR="007F15A9" w:rsidRPr="00DD59F0" w:rsidRDefault="007F15A9" w:rsidP="007F15A9">
            <w:pPr>
              <w:spacing w:before="120" w:after="120"/>
              <w:jc w:val="both"/>
              <w:rPr>
                <w:rFonts w:cstheme="minorHAnsi"/>
              </w:rPr>
            </w:pPr>
            <w:r w:rsidRPr="00DD59F0">
              <w:rPr>
                <w:rFonts w:cstheme="minorHAnsi"/>
              </w:rPr>
              <w:t xml:space="preserve">Debido a la naturaleza singular de esta actuación, no puede financiarse a través de convocatorias en concurrencia competitiva. Su interés público, social y científico es relevante y derivado de los objetivos que acomete la Fundación PRIMA, que con la financiación de proyectos de I+D+I en gestión de recursos hídricos, agroalimentación y sistemas agrícolas, está contribuyendo a hacer posible la participación y contribución de la comunidad científica española en favor de una gestión sostenible de los recursos naturales, al crecimiento económico y a la estabilidad en un área geopolítica de interés estratégico para España, además gravemente afectada por el cambio climático, la urbanización y el crecimiento demográfico. En este contexto se evidencia que PRIMA es única en esta capacidad.  </w:t>
            </w:r>
          </w:p>
          <w:p w14:paraId="6176040B" w14:textId="77777777" w:rsidR="007F15A9" w:rsidRPr="00DD59F0" w:rsidRDefault="007F15A9" w:rsidP="007F15A9">
            <w:pPr>
              <w:spacing w:before="120" w:after="120"/>
              <w:jc w:val="both"/>
              <w:rPr>
                <w:rFonts w:cstheme="minorHAnsi"/>
              </w:rPr>
            </w:pPr>
            <w:r w:rsidRPr="00DD59F0">
              <w:rPr>
                <w:rFonts w:cstheme="minorHAnsi"/>
              </w:rPr>
              <w:t>Por otra parte, España participa del interés por dar continuidad de la iniciativa PRIMA como instrumento de cooperación en I+D+I entre la Unión Europea y los países de la cuenca Mediterránea y de la ampliación de su agenda a temas relevantes como salud o energía de lo que se deriva también el interés público de esta actuación.</w:t>
            </w:r>
          </w:p>
          <w:p w14:paraId="4A3B9AD9" w14:textId="1800240D" w:rsidR="004E0271" w:rsidRPr="004E0271" w:rsidRDefault="004E0271" w:rsidP="004E0271">
            <w:pPr>
              <w:spacing w:after="120"/>
              <w:jc w:val="both"/>
              <w:rPr>
                <w:rFonts w:cstheme="minorHAnsi"/>
              </w:rPr>
            </w:pPr>
            <w:r w:rsidRPr="004E0271">
              <w:rPr>
                <w:rFonts w:cstheme="minorHAnsi"/>
              </w:rPr>
              <w:lastRenderedPageBreak/>
              <w:t xml:space="preserve">En segundo lugar, la concesión de una ayuda a la Fundación Centro de Regulación Genómica (CRG) para promover la colaboración entre el CRG y el Laboratorio Europeo de Biología Molecular (EMBL) así como proveer del apoyo administrativo, </w:t>
            </w:r>
            <w:r w:rsidR="007F15A9">
              <w:rPr>
                <w:rFonts w:cstheme="minorHAnsi"/>
              </w:rPr>
              <w:t xml:space="preserve">logístico, </w:t>
            </w:r>
            <w:r w:rsidRPr="004E0271">
              <w:rPr>
                <w:rFonts w:cstheme="minorHAnsi"/>
              </w:rPr>
              <w:t xml:space="preserve">científico y técnico necesario para el funcionamiento de la sede del EMBL en Barcelona. </w:t>
            </w:r>
            <w:r w:rsidR="007F15A9" w:rsidRPr="007F15A9">
              <w:rPr>
                <w:rFonts w:cstheme="minorHAnsi"/>
              </w:rPr>
              <w:t xml:space="preserve">Las instalaciones de la sede de EMBL se encuentran integradas en los espacios del CRG dentro del </w:t>
            </w:r>
            <w:r w:rsidR="007F15A9" w:rsidRPr="00DD59F0">
              <w:rPr>
                <w:rFonts w:cstheme="minorHAnsi"/>
              </w:rPr>
              <w:t>Parc de Recerca Biomèdica de Barcelona</w:t>
            </w:r>
            <w:r w:rsidR="007F15A9" w:rsidRPr="007F15A9">
              <w:rPr>
                <w:rFonts w:cstheme="minorHAnsi"/>
              </w:rPr>
              <w:t xml:space="preserve"> (PRBB) y por ello cuentan con espacios, plataformas y servicios científico-técnicos compartidos. El CRG es un instituto de investigación dedicado a desarrollar investigación básica en biomedicina, con especial énfasis en genómica y proteómica. Desde 2006 llevan a cabo una colaboración de carácter internacional entre el CRG y el EMBL, cuyos excelentes resultados dieron lugar al establecimiento de la sede del organismo internacional EMBL en Barcelona.</w:t>
            </w:r>
          </w:p>
          <w:p w14:paraId="0F80E524" w14:textId="7C8E5560" w:rsidR="007F15A9" w:rsidRPr="007F15A9" w:rsidRDefault="007F15A9" w:rsidP="007F15A9">
            <w:pPr>
              <w:spacing w:after="120"/>
              <w:jc w:val="both"/>
              <w:rPr>
                <w:rFonts w:cstheme="minorHAnsi"/>
              </w:rPr>
            </w:pPr>
            <w:r w:rsidRPr="007F15A9">
              <w:rPr>
                <w:rFonts w:cstheme="minorHAnsi"/>
              </w:rPr>
              <w:t xml:space="preserve">España es miembro de pleno derecho del EMBL y es uno de los cinco países con sede en su territorio. Contar con EMBL </w:t>
            </w:r>
            <w:r w:rsidRPr="00DD59F0">
              <w:rPr>
                <w:rFonts w:cstheme="minorHAnsi"/>
              </w:rPr>
              <w:t>in situ</w:t>
            </w:r>
            <w:r w:rsidRPr="007F15A9">
              <w:rPr>
                <w:rFonts w:cstheme="minorHAnsi"/>
              </w:rPr>
              <w:t xml:space="preserve"> tiene un gran impacto científico en el Sistema Español de Ciencia, Tecnología e Innovación por la visibilidad, la proyección internacional así como por las sinergias y colaboraciones que se establecen entre EMBL con el CRG y con otros centros de investigación españoles en el ámbito de la biomedicina y biología molecular convirtiéndose así en foco de generación de conocimiento y atracción de talento tanto junior (en formación) como senior (consolidado y reconocido a nivel mundial). Con el apoyo al CRG se reconoce la singularidad y el valor del proyecto concebido entre ambos, para la realización de actividades conjuntas de carácter científico interdisciplinar enmarcados en programas de investigación de bioinformática y genómica, biología celular y de sistemas y regulación génica entre otros. Entre los espacios, accesos y servicios compartidos destacan el Laboratorio de micro-Fabricación (µFabLab), instalación que permite la fabricación piezas pequeñas, prototipos y nuevas herramientas para apoyar experimentos biológicos complejos, y el </w:t>
            </w:r>
            <w:r w:rsidRPr="00DD59F0">
              <w:rPr>
                <w:rFonts w:cstheme="minorHAnsi"/>
              </w:rPr>
              <w:t>Collaboratorium</w:t>
            </w:r>
            <w:r w:rsidRPr="007F15A9">
              <w:rPr>
                <w:rFonts w:cstheme="minorHAnsi"/>
              </w:rPr>
              <w:t>, un proyecto conjunto donde participan investigadores de ambas instituciones y abierto a toda la comunidad científica española, alrededor de la temática de la biología predictiva y computacional. Es un polo de atracción, en el que se reúnen científicos líderes a nivel mundial en el campo de la inteligencia artificial y la biocomputación, para discutir de temas relevantes para la salud humana como el modelado de pandemias para su estimación y control, cáncer etc.</w:t>
            </w:r>
            <w:r w:rsidR="00246E10">
              <w:rPr>
                <w:rFonts w:cstheme="minorHAnsi"/>
              </w:rPr>
              <w:t xml:space="preserve"> </w:t>
            </w:r>
          </w:p>
          <w:p w14:paraId="1AEA2207" w14:textId="0C2D91A1" w:rsidR="00317A19" w:rsidRDefault="007F15A9" w:rsidP="00DD59F0">
            <w:pPr>
              <w:spacing w:after="360"/>
              <w:jc w:val="both"/>
              <w:rPr>
                <w:rFonts w:cstheme="minorHAnsi"/>
              </w:rPr>
            </w:pPr>
            <w:r w:rsidRPr="007F15A9">
              <w:rPr>
                <w:rFonts w:cstheme="minorHAnsi"/>
              </w:rPr>
              <w:t xml:space="preserve">Barcelona es ya uno de los </w:t>
            </w:r>
            <w:r w:rsidRPr="00DD59F0">
              <w:rPr>
                <w:rFonts w:cstheme="minorHAnsi"/>
              </w:rPr>
              <w:t xml:space="preserve">hubs </w:t>
            </w:r>
            <w:r w:rsidRPr="007F15A9">
              <w:rPr>
                <w:rFonts w:cstheme="minorHAnsi"/>
              </w:rPr>
              <w:t xml:space="preserve">con más actividad y peso en la investigación biomédica de Europa, y con esta actuación se genera un gran impacto en la generación de conocimiento y el desarrollo de capacidades de investigación e innovación en el conjunto de las instituciones de investigación biomédica, incluyendo institutos de investigación, universidades, centros hospitalarios, y empresas del </w:t>
            </w:r>
            <w:r w:rsidRPr="007F15A9">
              <w:rPr>
                <w:rFonts w:cstheme="minorHAnsi"/>
              </w:rPr>
              <w:lastRenderedPageBreak/>
              <w:t xml:space="preserve">sector. El interés público de esta actuación es notorio al sistema español de ciencia y tecnología. </w:t>
            </w:r>
          </w:p>
          <w:p w14:paraId="06279E80" w14:textId="04A462E0" w:rsidR="007F15A9" w:rsidRDefault="007F15A9" w:rsidP="007F15A9">
            <w:pPr>
              <w:spacing w:after="120"/>
              <w:jc w:val="both"/>
              <w:rPr>
                <w:rFonts w:cstheme="minorHAnsi"/>
              </w:rPr>
            </w:pPr>
            <w:r w:rsidRPr="00DD59F0">
              <w:rPr>
                <w:rFonts w:cstheme="minorHAnsi"/>
              </w:rPr>
              <w:t>En tercer lugar, se concede una ayuda a la Universidad de Zaragoza en su calidad de entidad responsable del nodo español del Centre Européen de Calcul Atomique et Moléculaire (CECAM), red internacional dedicada a la promoción de la investigación básica, la formación avanzada y la cooperación científica en el ámbito de la simulación computacional en física, química, biología y ciencia de materiales.</w:t>
            </w:r>
          </w:p>
          <w:p w14:paraId="38F841E8" w14:textId="77777777" w:rsidR="007F15A9" w:rsidRPr="00DD59F0" w:rsidRDefault="007F15A9" w:rsidP="007F15A9">
            <w:pPr>
              <w:spacing w:after="120"/>
              <w:jc w:val="both"/>
              <w:rPr>
                <w:rFonts w:cstheme="minorHAnsi"/>
              </w:rPr>
            </w:pPr>
            <w:r w:rsidRPr="00DD59F0">
              <w:rPr>
                <w:rFonts w:cstheme="minorHAnsi"/>
              </w:rPr>
              <w:t>El nodo español del CECAM, denominado ZCAM (Zaragoza Scientific Center for Advanced Modelling), está ubicado en la Universidad de Zaragoza y constituye una plataforma de referencia para la organización de escuelas internacionales, talleres científicos y otras actividades de alto impacto formativo, con una marcada proyección europea. A través de su programación, el nodo ofrece a la comunidad científica española acceso a redes internacionales de excelencia, fomenta la colaboración interdisciplinar, y contribuye a la formación de jóvenes investigadores en métodos computacionales avanzados.</w:t>
            </w:r>
          </w:p>
          <w:p w14:paraId="0F272106" w14:textId="77777777" w:rsidR="007F15A9" w:rsidRPr="00DD59F0" w:rsidRDefault="007F15A9" w:rsidP="00DD59F0">
            <w:pPr>
              <w:spacing w:after="360"/>
              <w:jc w:val="both"/>
              <w:rPr>
                <w:rFonts w:cstheme="minorHAnsi"/>
              </w:rPr>
            </w:pPr>
            <w:r w:rsidRPr="00DD59F0">
              <w:rPr>
                <w:rFonts w:cstheme="minorHAnsi"/>
              </w:rPr>
              <w:t>Las actividades desarrolladas por el ZCAM promueven el uso intensivo de recursos de computación científica y contribuyen significativamente al posicionamiento de España en el ámbito de la simulación por ordenador y la ciencia basada en datos, áreas clave para el avance científico y tecnológico nacional. Esta subvención está destinada a financiar los gastos necesarios para el desarrollo de dichas actividades.</w:t>
            </w:r>
          </w:p>
          <w:p w14:paraId="0D54FF22" w14:textId="77777777" w:rsidR="00317A19" w:rsidRPr="00DD59F0" w:rsidRDefault="00317A19" w:rsidP="00317A19">
            <w:pPr>
              <w:spacing w:after="120"/>
              <w:jc w:val="both"/>
              <w:rPr>
                <w:rFonts w:cstheme="minorHAnsi"/>
              </w:rPr>
            </w:pPr>
            <w:r w:rsidRPr="00DD59F0">
              <w:rPr>
                <w:rFonts w:cstheme="minorHAnsi"/>
              </w:rPr>
              <w:t>En cuarto lugar, se concede una ayuda al Institut de Física d'Altes Energies (IFAE) para contribuir al desarrollo de actuaciones científico-técnicas vinculadas a la preparación de la construcción del Telescopio Einstein (ET), un futuro observatorio europeo de ondas gravitacionales de tercera generación, incluido desde 2021 en la hoja de ruta del Foro Estratégico Europeo sobre Infraestructuras de Investigación (ESFRI). El ET está llamado a convertirse en una de las grandes infraestructuras científicas del continente durante las próximas décadas, con un alto impacto en física fundamental, astrofísica y cosmología.</w:t>
            </w:r>
          </w:p>
          <w:p w14:paraId="10CC652A" w14:textId="346ED77B" w:rsidR="00317A19" w:rsidRPr="00DD59F0" w:rsidRDefault="00317A19" w:rsidP="00317A19">
            <w:pPr>
              <w:spacing w:after="120"/>
              <w:jc w:val="both"/>
              <w:rPr>
                <w:rFonts w:cstheme="minorHAnsi"/>
              </w:rPr>
            </w:pPr>
            <w:r w:rsidRPr="00DD59F0">
              <w:rPr>
                <w:rFonts w:cstheme="minorHAnsi"/>
              </w:rPr>
              <w:t xml:space="preserve">El IFAE, con sede en Barcelona, coordina el proyecto europeo </w:t>
            </w:r>
            <w:r w:rsidRPr="00DD59F0">
              <w:rPr>
                <w:rFonts w:cstheme="minorHAnsi"/>
                <w:i/>
                <w:iCs/>
              </w:rPr>
              <w:t>Einstein Telescope Preparatory Phase</w:t>
            </w:r>
            <w:r w:rsidRPr="0081008A">
              <w:rPr>
                <w:rFonts w:cstheme="minorHAnsi"/>
              </w:rPr>
              <w:t xml:space="preserve"> </w:t>
            </w:r>
            <w:r w:rsidRPr="00DD59F0">
              <w:rPr>
                <w:rFonts w:cstheme="minorHAnsi"/>
              </w:rPr>
              <w:t xml:space="preserve">(ET-PP), financiado por </w:t>
            </w:r>
            <w:r w:rsidR="0081008A">
              <w:rPr>
                <w:rFonts w:cstheme="minorHAnsi"/>
              </w:rPr>
              <w:t>la Comisión Europea a través d</w:t>
            </w:r>
            <w:r w:rsidRPr="00DD59F0">
              <w:rPr>
                <w:rFonts w:cstheme="minorHAnsi"/>
              </w:rPr>
              <w:t xml:space="preserve">el programa Horizonte Europa, y forma parte del directorado de la Einstein Telescope Organisation (ETO), entidad provisional de gobernanza del futuro observatorio. En este contexto, IFAE representa a España en diversos acuerdos suscritos con el CERN, INFN (Italia) y Nikhef (Países Bajos) para el desarrollo de estudios técnicos en ingeniería civil, vacío y diseño funcional de la futura infraestructura. Esta subvención permitirá al IFAE cumplir con los compromisos asumidos en el marco de dichos acuerdos y reforzar su </w:t>
            </w:r>
            <w:r w:rsidRPr="00DD59F0">
              <w:rPr>
                <w:rFonts w:cstheme="minorHAnsi"/>
              </w:rPr>
              <w:lastRenderedPageBreak/>
              <w:t>contribución a la elaboración del diseño técnico del ET, mediante la ejecución de estudios especializados, el desarrollo de herramientas avanzadas de planificación constructiva y la incorporación de personal técnico para tareas clave en el diseño funcional y en la preparación del observatorio.</w:t>
            </w:r>
          </w:p>
          <w:p w14:paraId="0C51BD60" w14:textId="67A80974" w:rsidR="00317A19" w:rsidRPr="00DD59F0" w:rsidRDefault="00317A19" w:rsidP="00DD59F0">
            <w:pPr>
              <w:spacing w:after="360"/>
              <w:jc w:val="both"/>
              <w:rPr>
                <w:rFonts w:cstheme="minorHAnsi"/>
              </w:rPr>
            </w:pPr>
            <w:r w:rsidRPr="00DD59F0">
              <w:rPr>
                <w:rFonts w:cstheme="minorHAnsi"/>
              </w:rPr>
              <w:t xml:space="preserve">La actuación responde al interés general de posicionar a España como socio estratégico en el desarrollo de esta infraestructura científica de referencia, asegurando su participación desde las primeras fases del diseño y la toma de decisiones. Asimismo, se enmarca en el compromiso bilateral suscrito entre España e Italia, que reconoce el interés compartido de ambos países en el impulso a grandes infraestructuras científicas europeas como el Telescopio Einstein e IFMIF-DONES. La contribución del IFAE a la ETO podría facilitar, además, una participación destacada de España en la definición de la futura sede administrativa del observatorio, con los beneficios asociados en términos de liderazgo científico, visibilidad internacional e impacto económico. </w:t>
            </w:r>
          </w:p>
          <w:p w14:paraId="0604262D" w14:textId="77777777" w:rsidR="00317A19" w:rsidRPr="00DD59F0" w:rsidRDefault="00317A19" w:rsidP="00317A19">
            <w:pPr>
              <w:spacing w:after="120"/>
              <w:jc w:val="both"/>
              <w:rPr>
                <w:rFonts w:cstheme="minorHAnsi"/>
              </w:rPr>
            </w:pPr>
            <w:r w:rsidRPr="00DD59F0">
              <w:rPr>
                <w:rFonts w:cstheme="minorHAnsi"/>
              </w:rPr>
              <w:t>En quinto lugar, se concede una ayuda al Institut de Física d'Altes Energies (IFAE) para facilitar la participación institucional de España en el Observatorio Gravitacional Europeo (EGO), infraestructura internacional de investigación con sede en Cascina (Italia), dedicada a la operación del interferómetro Virgo y a la coordinación de la red europea de experimentos de detección de ondas gravitacionales. EGO es un consorcio de derecho privado constituido conforme al Código Civil italiano, fundado en el año 2000 por el CNRS (Francia) y el INFN (Italia), y constituye un nodo esencial en la colaboración científica internacional en este campo, junto con LIGO (Estados Unidos), KAGRA (Japón) y GEO600 (Alemania).</w:t>
            </w:r>
          </w:p>
          <w:p w14:paraId="6839363B" w14:textId="77777777" w:rsidR="00317A19" w:rsidRPr="00DD59F0" w:rsidRDefault="00317A19" w:rsidP="00317A19">
            <w:pPr>
              <w:spacing w:after="120"/>
              <w:jc w:val="both"/>
              <w:rPr>
                <w:rFonts w:cstheme="minorHAnsi"/>
              </w:rPr>
            </w:pPr>
            <w:r w:rsidRPr="00DD59F0">
              <w:rPr>
                <w:rFonts w:cstheme="minorHAnsi"/>
              </w:rPr>
              <w:t>España ha contribuido durante años a los desarrollos científicos del experimento Virgo a través de diversos grupos de investigación nacionales, entre ellos el IFAE, el CIEMAT</w:t>
            </w:r>
            <w:r w:rsidRPr="00DD59F0">
              <w:rPr>
                <w:rFonts w:cstheme="minorHAnsi"/>
              </w:rPr>
              <w:footnoteReference w:id="1"/>
            </w:r>
            <w:r w:rsidRPr="00DD59F0">
              <w:rPr>
                <w:rFonts w:cstheme="minorHAnsi"/>
              </w:rPr>
              <w:t>, el ICCUB</w:t>
            </w:r>
            <w:r w:rsidRPr="00DD59F0">
              <w:rPr>
                <w:rFonts w:cstheme="minorHAnsi"/>
              </w:rPr>
              <w:footnoteReference w:id="2"/>
            </w:r>
            <w:r w:rsidRPr="00DD59F0">
              <w:rPr>
                <w:rFonts w:cstheme="minorHAnsi"/>
              </w:rPr>
              <w:t>, la Universidad de Valencia y el IFT</w:t>
            </w:r>
            <w:r w:rsidRPr="00DD59F0">
              <w:rPr>
                <w:rFonts w:cstheme="minorHAnsi"/>
              </w:rPr>
              <w:footnoteReference w:id="3"/>
            </w:r>
            <w:r w:rsidRPr="00DD59F0">
              <w:rPr>
                <w:rFonts w:cstheme="minorHAnsi"/>
              </w:rPr>
              <w:t>, aunque sin formar parte aún del consorcio como miembro institucional. Esta subvención permite dar un paso decisivo hacia la futura adhesión de España a EGO, reforzando su presencia técnica en el observatorio mediante la financiación de costes operativos asociados a las actividades del experimento Virgo —incluidos el mantenimiento de sistemas científicos, la infraestructura informática, y el apoyo técnico y de coordinación—, al tiempo que se facilita una futura integración en los órganos de gobernanza y en la toma de decisiones estratégicas.</w:t>
            </w:r>
          </w:p>
          <w:p w14:paraId="3A3242D1" w14:textId="77777777" w:rsidR="00317A19" w:rsidRDefault="00317A19" w:rsidP="00DD59F0">
            <w:pPr>
              <w:spacing w:after="120"/>
              <w:jc w:val="both"/>
              <w:rPr>
                <w:rFonts w:cstheme="minorHAnsi"/>
              </w:rPr>
            </w:pPr>
            <w:r w:rsidRPr="00DD59F0">
              <w:rPr>
                <w:rFonts w:cstheme="minorHAnsi"/>
              </w:rPr>
              <w:lastRenderedPageBreak/>
              <w:t xml:space="preserve">La actuación se alinea con los objetivos prioritarios del sistema español de ciencia e innovación en materia de grandes infraestructuras internacionales, y responde al interés general de reforzar la posición española en la astrofísica de ondas gravitacionales. La integración institucional en EGO, canalizada a través del IFAE, es especialmente relevante en el contexto del Telescopio Einstein, ya que Virgo constituye su precursor científico y tecnológico. Participar plenamente en EGO permitirá a España contribuir y beneficiarse de los desarrollos organizativos, técnicos y experimentales que servirán de base para el diseño y construcción del futuro Telescopio Einstein, de gran interés estratégico para el sistema español de ciencia e innovación. </w:t>
            </w:r>
          </w:p>
          <w:p w14:paraId="46AA4D89" w14:textId="245EE1D0" w:rsidR="00497FDF" w:rsidRPr="00497FDF" w:rsidRDefault="00497FDF" w:rsidP="00497FDF">
            <w:pPr>
              <w:spacing w:after="120"/>
              <w:jc w:val="both"/>
              <w:rPr>
                <w:rFonts w:cstheme="minorHAnsi"/>
              </w:rPr>
            </w:pPr>
            <w:r w:rsidRPr="00497FDF">
              <w:rPr>
                <w:rFonts w:cstheme="minorHAnsi"/>
              </w:rPr>
              <w:t xml:space="preserve">En </w:t>
            </w:r>
            <w:r>
              <w:rPr>
                <w:rFonts w:cstheme="minorHAnsi"/>
              </w:rPr>
              <w:t>sexto</w:t>
            </w:r>
            <w:r w:rsidRPr="00497FDF">
              <w:rPr>
                <w:rFonts w:cstheme="minorHAnsi"/>
              </w:rPr>
              <w:t xml:space="preserve"> lugar, se regula la concesión de una ayuda a la Confederación de Sociedades Científicas de España (COSCE) siendo ésta la principal asociación de ciencia en España. Dentro de esta misión, COSCE desarrolla bajo la forma de Acciones, Estudios y Proyectos, muy diversas iniciativas que representan un servicio de interés público relevante, ejemplos de ello serían sus iniciativas orientadas a facilitar la introducción de las ciencias en la didáctica escolar, reconocer la investigación de excelencia y promover su divulgación, o el proyecto de implantación en España del Acuerdo de Transparencia sobre el uso de animales en la experimentación científica. Estos y otros proyectos representan una contribución relevante a la vertebración del sistema de ciencia y tecnología español.   </w:t>
            </w:r>
          </w:p>
          <w:p w14:paraId="0E6D6CE5" w14:textId="77777777" w:rsidR="00497FDF" w:rsidRPr="00497FDF" w:rsidRDefault="00497FDF" w:rsidP="00497FDF">
            <w:pPr>
              <w:spacing w:after="120"/>
              <w:jc w:val="both"/>
              <w:rPr>
                <w:rFonts w:cstheme="minorHAnsi"/>
              </w:rPr>
            </w:pPr>
            <w:r w:rsidRPr="00497FDF">
              <w:rPr>
                <w:rFonts w:cstheme="minorHAnsi"/>
              </w:rPr>
              <w:t>El artículo 22.2.c) de la Ley 38/2003, de 17 de noviembre, General de Subvenciones, así como el artículo 67 del Reglamento de la Ley 38/2003, de 17 de noviembre, General de Subvenciones, aprobado por el Real Decreto 887/2006, de 21 de julio, establecen que podrán concederse de forma directa y «con carácter excepcional, aquellas otras subvenciones en que se acrediten razones de interés público, social, económico o humanitario, u otras debidamente justificadas que dificulten su convocatoria pública».</w:t>
            </w:r>
          </w:p>
          <w:p w14:paraId="16F744CB" w14:textId="77777777" w:rsidR="00497FDF" w:rsidRPr="00497FDF" w:rsidRDefault="00497FDF" w:rsidP="00497FDF">
            <w:pPr>
              <w:spacing w:after="120"/>
              <w:jc w:val="both"/>
              <w:rPr>
                <w:rFonts w:cstheme="minorHAnsi"/>
              </w:rPr>
            </w:pPr>
            <w:r w:rsidRPr="00497FDF">
              <w:rPr>
                <w:rFonts w:cstheme="minorHAnsi"/>
              </w:rPr>
              <w:t>En virtud de lo anteriormente señalado, se considera que quedan suficientemente acreditados los rasgos identificativos de interés público y social que ameritan la concesión de forma directa de ambas subvenciones.</w:t>
            </w:r>
          </w:p>
          <w:p w14:paraId="783DD9CD" w14:textId="3BB4E8C8" w:rsidR="00497FDF" w:rsidRPr="00DD59F0" w:rsidRDefault="00497FDF" w:rsidP="00DD59F0">
            <w:pPr>
              <w:spacing w:after="120"/>
              <w:jc w:val="both"/>
              <w:rPr>
                <w:rFonts w:cstheme="minorHAnsi"/>
              </w:rPr>
            </w:pPr>
          </w:p>
        </w:tc>
      </w:tr>
      <w:tr w:rsidR="00347696" w:rsidRPr="00CC4711" w14:paraId="0E5CE91B" w14:textId="77777777" w:rsidTr="00C60AFB">
        <w:trPr>
          <w:cantSplit/>
          <w:trHeight w:val="204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32C4D4A2"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lastRenderedPageBreak/>
              <w:t>Principales alternativas consideradas</w:t>
            </w:r>
          </w:p>
          <w:p w14:paraId="441E1E19"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74E324D0" w14:textId="41597DA7" w:rsidR="00347696" w:rsidRDefault="00347696" w:rsidP="002856B2">
            <w:pPr>
              <w:spacing w:after="0" w:line="240" w:lineRule="auto"/>
              <w:jc w:val="both"/>
              <w:rPr>
                <w:rFonts w:ascii="Calibri" w:eastAsia="Times New Roman" w:hAnsi="Calibri" w:cs="Calibri"/>
                <w:lang w:eastAsia="es-ES"/>
              </w:rPr>
            </w:pPr>
            <w:r w:rsidRPr="002856B2">
              <w:rPr>
                <w:rFonts w:ascii="Calibri" w:eastAsia="Times New Roman" w:hAnsi="Calibri" w:cs="Calibri"/>
                <w:lang w:val="es-ES_tradnl" w:eastAsia="es-ES"/>
              </w:rPr>
              <w:t xml:space="preserve">La no aprobación del real decreto de concesión directa de subvenciones </w:t>
            </w:r>
            <w:r w:rsidRPr="002856B2">
              <w:rPr>
                <w:rFonts w:ascii="Calibri" w:eastAsia="Times New Roman" w:hAnsi="Calibri" w:cs="Calibri"/>
                <w:lang w:eastAsia="es-ES"/>
              </w:rPr>
              <w:t>implicaría</w:t>
            </w:r>
            <w:r w:rsidR="00923260" w:rsidRPr="002856B2">
              <w:rPr>
                <w:rFonts w:ascii="Calibri" w:eastAsia="Times New Roman" w:hAnsi="Calibri" w:cs="Calibri"/>
                <w:lang w:eastAsia="es-ES"/>
              </w:rPr>
              <w:t xml:space="preserve"> la falta de financiación de la</w:t>
            </w:r>
            <w:r w:rsidRPr="002856B2">
              <w:rPr>
                <w:rFonts w:ascii="Calibri" w:eastAsia="Times New Roman" w:hAnsi="Calibri" w:cs="Calibri"/>
                <w:lang w:eastAsia="es-ES"/>
              </w:rPr>
              <w:t xml:space="preserve">s </w:t>
            </w:r>
            <w:r w:rsidR="006C65AD">
              <w:rPr>
                <w:rFonts w:ascii="Calibri" w:eastAsia="Times New Roman" w:hAnsi="Calibri" w:cs="Calibri"/>
                <w:lang w:eastAsia="es-ES"/>
              </w:rPr>
              <w:t>entidades beneficiarias</w:t>
            </w:r>
            <w:r w:rsidR="002856B2">
              <w:rPr>
                <w:rFonts w:ascii="Calibri" w:eastAsia="Times New Roman" w:hAnsi="Calibri" w:cs="Calibri"/>
                <w:lang w:eastAsia="es-ES"/>
              </w:rPr>
              <w:t xml:space="preserve">, de las cuales se ha acreditado su marcado interés público, social y económico. </w:t>
            </w:r>
          </w:p>
          <w:p w14:paraId="64EF9E58" w14:textId="77777777" w:rsidR="002856B2" w:rsidRPr="002856B2" w:rsidRDefault="002856B2" w:rsidP="002856B2">
            <w:pPr>
              <w:spacing w:after="0" w:line="240" w:lineRule="auto"/>
              <w:jc w:val="both"/>
              <w:rPr>
                <w:rFonts w:ascii="Calibri" w:eastAsia="Times New Roman" w:hAnsi="Calibri" w:cs="Calibri"/>
                <w:lang w:eastAsia="es-ES"/>
              </w:rPr>
            </w:pPr>
          </w:p>
          <w:p w14:paraId="1D0971BC" w14:textId="4553F002" w:rsidR="00347696" w:rsidRPr="00EA584E" w:rsidRDefault="00347696" w:rsidP="00EA584E">
            <w:pPr>
              <w:spacing w:line="240" w:lineRule="auto"/>
              <w:jc w:val="both"/>
              <w:rPr>
                <w:rFonts w:eastAsia="Times New Roman" w:cstheme="minorHAnsi"/>
                <w:b/>
                <w:lang w:val="es-ES_tradnl" w:eastAsia="es-ES"/>
              </w:rPr>
            </w:pPr>
            <w:r w:rsidRPr="00EA584E">
              <w:rPr>
                <w:rFonts w:eastAsia="Times New Roman" w:cstheme="minorHAnsi"/>
                <w:lang w:eastAsia="es-ES"/>
              </w:rPr>
              <w:t xml:space="preserve">Se ha optado por esta alternativa, pues permite </w:t>
            </w:r>
            <w:r w:rsidR="002856B2" w:rsidRPr="00EA584E">
              <w:rPr>
                <w:rFonts w:eastAsia="Times New Roman" w:cstheme="minorHAnsi"/>
                <w:lang w:eastAsia="es-ES"/>
              </w:rPr>
              <w:t xml:space="preserve">el desarrollo de actuaciones por </w:t>
            </w:r>
            <w:r w:rsidR="006C65AD">
              <w:rPr>
                <w:rFonts w:eastAsia="Times New Roman" w:cstheme="minorHAnsi"/>
                <w:lang w:eastAsia="es-ES"/>
              </w:rPr>
              <w:t>las entidades</w:t>
            </w:r>
            <w:r w:rsidR="00EA584E" w:rsidRPr="00EA584E">
              <w:rPr>
                <w:rFonts w:eastAsia="Times New Roman" w:cstheme="minorHAnsi"/>
                <w:lang w:eastAsia="es-ES"/>
              </w:rPr>
              <w:t xml:space="preserve">, </w:t>
            </w:r>
            <w:r w:rsidR="002856B2" w:rsidRPr="00EA584E">
              <w:rPr>
                <w:rFonts w:eastAsia="Times New Roman" w:cstheme="minorHAnsi"/>
                <w:lang w:eastAsia="es-ES"/>
              </w:rPr>
              <w:t xml:space="preserve">que </w:t>
            </w:r>
            <w:r w:rsidR="00EA584E" w:rsidRPr="00EA584E">
              <w:rPr>
                <w:rFonts w:cstheme="minorHAnsi"/>
                <w:bCs/>
              </w:rPr>
              <w:t>prestan servicios de interés general al sistema español de ciencia y tecnología</w:t>
            </w:r>
            <w:r w:rsidR="00EA584E" w:rsidRPr="00EA584E">
              <w:rPr>
                <w:rFonts w:eastAsia="Times New Roman" w:cstheme="minorHAnsi"/>
                <w:b/>
                <w:lang w:eastAsia="es-ES"/>
              </w:rPr>
              <w:t xml:space="preserve"> </w:t>
            </w:r>
            <w:r w:rsidR="002856B2" w:rsidRPr="00EA584E">
              <w:rPr>
                <w:rFonts w:eastAsia="Times New Roman" w:cstheme="minorHAnsi"/>
                <w:lang w:eastAsia="es-ES"/>
              </w:rPr>
              <w:t>y enlazan con objetivos estratégicos marcados por la Estrategia Española de Ciencia, Tecnología e Innovación (EECTI) 2021-2027.</w:t>
            </w:r>
          </w:p>
        </w:tc>
      </w:tr>
      <w:tr w:rsidR="00347696" w:rsidRPr="00CC4711" w14:paraId="21D85DB2" w14:textId="77777777" w:rsidTr="00C60AFB">
        <w:trPr>
          <w:cantSplit/>
          <w:trHeight w:val="688"/>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EFE100"/>
            <w:tcMar>
              <w:top w:w="100" w:type="dxa"/>
              <w:left w:w="100" w:type="dxa"/>
              <w:bottom w:w="100" w:type="dxa"/>
              <w:right w:w="100" w:type="dxa"/>
            </w:tcMar>
          </w:tcPr>
          <w:p w14:paraId="1D675FF1"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center"/>
              <w:rPr>
                <w:rFonts w:ascii="Calibri" w:eastAsia="ヒラギノ角ゴ Pro W3" w:hAnsi="Calibri" w:cs="Calibri"/>
                <w:b/>
                <w:lang w:val="es-ES_tradnl"/>
              </w:rPr>
            </w:pPr>
            <w:r w:rsidRPr="00CC4711">
              <w:rPr>
                <w:rFonts w:ascii="Calibri" w:eastAsia="ヒラギノ角ゴ Pro W3" w:hAnsi="Calibri" w:cs="Calibri"/>
                <w:b/>
                <w:lang w:val="es-ES_tradnl"/>
              </w:rPr>
              <w:t>CONTENIDO Y ANÁLISIS JURÍDICO</w:t>
            </w:r>
          </w:p>
        </w:tc>
      </w:tr>
      <w:tr w:rsidR="00347696" w:rsidRPr="00CC4711" w14:paraId="4045C1E5" w14:textId="77777777" w:rsidTr="00C60AFB">
        <w:trPr>
          <w:cantSplit/>
          <w:trHeight w:val="3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048F3189"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Tipo de norma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046C0D45" w14:textId="6AB5928E"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r w:rsidRPr="00CC4711">
              <w:rPr>
                <w:rFonts w:ascii="Calibri" w:eastAsia="ヒラギノ角ゴ Pro W3" w:hAnsi="Calibri" w:cs="Calibri"/>
                <w:lang w:val="es-ES_tradnl"/>
              </w:rPr>
              <w:t>Real Decreto</w:t>
            </w:r>
            <w:r>
              <w:rPr>
                <w:rFonts w:ascii="Calibri" w:eastAsia="ヒラギノ角ゴ Pro W3" w:hAnsi="Calibri" w:cs="Calibri"/>
                <w:lang w:val="es-ES_tradnl"/>
              </w:rPr>
              <w:t>.</w:t>
            </w:r>
          </w:p>
        </w:tc>
      </w:tr>
      <w:tr w:rsidR="00347696" w:rsidRPr="00CC4711" w14:paraId="7F50C0DA" w14:textId="77777777" w:rsidTr="00C60AFB">
        <w:trPr>
          <w:cantSplit/>
          <w:trHeight w:val="49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4F2C4003" w14:textId="77777777" w:rsidR="00347696" w:rsidRPr="008668EF"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color w:val="000000" w:themeColor="text1"/>
                <w:lang w:val="es-ES_tradnl"/>
              </w:rPr>
            </w:pPr>
            <w:r w:rsidRPr="008668EF">
              <w:rPr>
                <w:rFonts w:ascii="Calibri" w:eastAsia="ヒラギノ角ゴ Pro W3" w:hAnsi="Calibri" w:cs="Calibri"/>
                <w:b/>
                <w:color w:val="000000" w:themeColor="text1"/>
                <w:lang w:val="es-ES_tradnl"/>
              </w:rPr>
              <w:t xml:space="preserve">Estructura de </w:t>
            </w:r>
            <w:smartTag w:uri="urn:schemas-microsoft-com:office:smarttags" w:element="PersonName">
              <w:smartTagPr>
                <w:attr w:name="ProductID" w:val="la Norma"/>
              </w:smartTagPr>
              <w:r w:rsidRPr="008668EF">
                <w:rPr>
                  <w:rFonts w:ascii="Calibri" w:eastAsia="ヒラギノ角ゴ Pro W3" w:hAnsi="Calibri" w:cs="Calibri"/>
                  <w:b/>
                  <w:color w:val="000000" w:themeColor="text1"/>
                  <w:lang w:val="es-ES_tradnl"/>
                </w:rPr>
                <w:t>la Norma</w:t>
              </w:r>
            </w:smartTag>
            <w:r w:rsidRPr="008668EF">
              <w:rPr>
                <w:rFonts w:ascii="Calibri" w:eastAsia="ヒラギノ角ゴ Pro W3" w:hAnsi="Calibri" w:cs="Calibri"/>
                <w:b/>
                <w:color w:val="000000" w:themeColor="text1"/>
                <w:lang w:val="es-ES_tradnl"/>
              </w:rPr>
              <w:t xml:space="preserve"> </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6FA09A6A" w14:textId="598EAD4E" w:rsidR="00347696" w:rsidRPr="008668EF" w:rsidRDefault="00347696" w:rsidP="00147AAF">
            <w:pPr>
              <w:jc w:val="both"/>
              <w:rPr>
                <w:color w:val="000000" w:themeColor="text1"/>
                <w:lang w:val="es-ES_tradnl" w:eastAsia="es-ES"/>
              </w:rPr>
            </w:pPr>
            <w:r w:rsidRPr="008668EF">
              <w:rPr>
                <w:color w:val="000000" w:themeColor="text1"/>
                <w:lang w:val="es-ES_tradnl" w:eastAsia="es-ES"/>
              </w:rPr>
              <w:t xml:space="preserve">Consta de </w:t>
            </w:r>
            <w:r w:rsidR="007F15A9">
              <w:rPr>
                <w:color w:val="000000" w:themeColor="text1"/>
                <w:lang w:val="es-ES_tradnl" w:eastAsia="es-ES"/>
              </w:rPr>
              <w:t>16</w:t>
            </w:r>
            <w:r w:rsidR="007F15A9" w:rsidRPr="008668EF">
              <w:rPr>
                <w:color w:val="000000" w:themeColor="text1"/>
                <w:lang w:val="es-ES_tradnl" w:eastAsia="es-ES"/>
              </w:rPr>
              <w:t xml:space="preserve"> </w:t>
            </w:r>
            <w:r w:rsidRPr="008668EF">
              <w:rPr>
                <w:color w:val="000000" w:themeColor="text1"/>
                <w:lang w:val="es-ES_tradnl" w:eastAsia="es-ES"/>
              </w:rPr>
              <w:t>artículos</w:t>
            </w:r>
            <w:r w:rsidR="008668EF" w:rsidRPr="008668EF">
              <w:rPr>
                <w:color w:val="000000" w:themeColor="text1"/>
                <w:lang w:val="es-ES_tradnl" w:eastAsia="es-ES"/>
              </w:rPr>
              <w:t xml:space="preserve"> y </w:t>
            </w:r>
            <w:r w:rsidRPr="008668EF">
              <w:rPr>
                <w:color w:val="000000" w:themeColor="text1"/>
                <w:lang w:val="es-ES_tradnl" w:eastAsia="es-ES"/>
              </w:rPr>
              <w:t>tres disposiciones finales</w:t>
            </w:r>
            <w:r w:rsidR="002856B2" w:rsidRPr="008668EF">
              <w:rPr>
                <w:color w:val="000000" w:themeColor="text1"/>
                <w:lang w:val="es-ES_tradnl" w:eastAsia="es-ES"/>
              </w:rPr>
              <w:t>.</w:t>
            </w:r>
          </w:p>
        </w:tc>
      </w:tr>
      <w:tr w:rsidR="00347696" w:rsidRPr="00CC4711" w14:paraId="05B4C407" w14:textId="77777777" w:rsidTr="00C60AFB">
        <w:trPr>
          <w:cantSplit/>
          <w:trHeight w:val="148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58035E36"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Informes recabados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524A9196" w14:textId="3AAD2121" w:rsidR="008668EF" w:rsidRPr="008668EF" w:rsidRDefault="008668EF" w:rsidP="008668EF">
            <w:pPr>
              <w:spacing w:after="0" w:line="240" w:lineRule="auto"/>
              <w:jc w:val="both"/>
              <w:rPr>
                <w:rFonts w:ascii="Calibri" w:eastAsia="Times New Roman" w:hAnsi="Calibri" w:cs="Calibri"/>
                <w:lang w:val="es-ES_tradnl" w:eastAsia="es-ES"/>
              </w:rPr>
            </w:pPr>
            <w:r w:rsidRPr="008668EF">
              <w:rPr>
                <w:rFonts w:ascii="Calibri" w:eastAsia="Times New Roman" w:hAnsi="Calibri" w:cs="Calibri"/>
                <w:lang w:val="es-ES_tradnl" w:eastAsia="es-ES"/>
              </w:rPr>
              <w:t xml:space="preserve">En la tramitación del proyecto de real decreto se </w:t>
            </w:r>
            <w:r>
              <w:rPr>
                <w:rFonts w:ascii="Calibri" w:eastAsia="Times New Roman" w:hAnsi="Calibri" w:cs="Calibri"/>
                <w:lang w:val="es-ES_tradnl" w:eastAsia="es-ES"/>
              </w:rPr>
              <w:t>solicitarán</w:t>
            </w:r>
            <w:r w:rsidRPr="008668EF">
              <w:rPr>
                <w:rFonts w:ascii="Calibri" w:eastAsia="Times New Roman" w:hAnsi="Calibri" w:cs="Calibri"/>
                <w:lang w:val="es-ES_tradnl" w:eastAsia="es-ES"/>
              </w:rPr>
              <w:t xml:space="preserve"> los siguientes informes, de conformidad con lo preceptuado por el artículo 26 de la Ley 50/1997, de 27 de noviembre, del Gobierno:</w:t>
            </w:r>
          </w:p>
          <w:p w14:paraId="11C005FB" w14:textId="77777777" w:rsidR="008668EF" w:rsidRPr="008668EF" w:rsidRDefault="008668EF" w:rsidP="008668EF">
            <w:pPr>
              <w:spacing w:after="0" w:line="240" w:lineRule="auto"/>
              <w:jc w:val="both"/>
              <w:rPr>
                <w:rFonts w:ascii="Calibri" w:eastAsia="Times New Roman" w:hAnsi="Calibri" w:cs="Calibri"/>
                <w:lang w:val="es-ES_tradnl" w:eastAsia="es-ES"/>
              </w:rPr>
            </w:pPr>
          </w:p>
          <w:p w14:paraId="0EB22389" w14:textId="77777777" w:rsidR="008668EF" w:rsidRPr="008668EF" w:rsidRDefault="008668EF" w:rsidP="008668EF">
            <w:pPr>
              <w:numPr>
                <w:ilvl w:val="0"/>
                <w:numId w:val="30"/>
              </w:numPr>
              <w:spacing w:after="0" w:line="240" w:lineRule="auto"/>
              <w:jc w:val="both"/>
              <w:rPr>
                <w:rFonts w:ascii="Calibri" w:eastAsia="Times New Roman" w:hAnsi="Calibri" w:cs="Calibri"/>
                <w:lang w:val="es-ES_tradnl" w:eastAsia="es-ES"/>
              </w:rPr>
            </w:pPr>
            <w:r w:rsidRPr="008668EF">
              <w:rPr>
                <w:rFonts w:ascii="Calibri" w:eastAsia="Times New Roman" w:hAnsi="Calibri" w:cs="Calibri"/>
                <w:lang w:val="es-ES_tradnl" w:eastAsia="es-ES"/>
              </w:rPr>
              <w:t xml:space="preserve">De la </w:t>
            </w:r>
            <w:r w:rsidRPr="008668EF">
              <w:rPr>
                <w:rFonts w:ascii="Calibri" w:eastAsia="Times New Roman" w:hAnsi="Calibri" w:cs="Calibri"/>
                <w:b/>
                <w:bCs/>
                <w:lang w:val="es-ES_tradnl" w:eastAsia="es-ES"/>
              </w:rPr>
              <w:t>Abogacía del Estado.</w:t>
            </w:r>
          </w:p>
          <w:p w14:paraId="118216D6" w14:textId="77777777" w:rsidR="008668EF" w:rsidRPr="008668EF" w:rsidRDefault="008668EF" w:rsidP="008668EF">
            <w:pPr>
              <w:numPr>
                <w:ilvl w:val="0"/>
                <w:numId w:val="30"/>
              </w:numPr>
              <w:spacing w:after="0" w:line="240" w:lineRule="auto"/>
              <w:jc w:val="both"/>
              <w:rPr>
                <w:rFonts w:ascii="Calibri" w:eastAsia="Times New Roman" w:hAnsi="Calibri" w:cs="Calibri"/>
                <w:b/>
                <w:bCs/>
                <w:lang w:val="es-ES_tradnl" w:eastAsia="es-ES"/>
              </w:rPr>
            </w:pPr>
            <w:r w:rsidRPr="008668EF">
              <w:rPr>
                <w:rFonts w:ascii="Calibri" w:eastAsia="Times New Roman" w:hAnsi="Calibri" w:cs="Calibri"/>
                <w:lang w:val="es-ES_tradnl" w:eastAsia="es-ES"/>
              </w:rPr>
              <w:t xml:space="preserve">De la </w:t>
            </w:r>
            <w:r w:rsidRPr="008668EF">
              <w:rPr>
                <w:rFonts w:ascii="Calibri" w:eastAsia="Times New Roman" w:hAnsi="Calibri" w:cs="Calibri"/>
                <w:b/>
                <w:lang w:val="es-ES_tradnl" w:eastAsia="es-ES"/>
              </w:rPr>
              <w:t>Oficina de Coordinación y Calidad Normativa del Ministerio de la Presidencia</w:t>
            </w:r>
            <w:r w:rsidRPr="008668EF">
              <w:rPr>
                <w:rFonts w:ascii="Calibri" w:eastAsia="Times New Roman" w:hAnsi="Calibri" w:cs="Calibri"/>
                <w:b/>
                <w:bCs/>
                <w:lang w:val="es-ES_tradnl" w:eastAsia="es-ES"/>
              </w:rPr>
              <w:t>,</w:t>
            </w:r>
            <w:r w:rsidRPr="008668EF">
              <w:rPr>
                <w:rFonts w:ascii="Calibri" w:eastAsia="Times New Roman" w:hAnsi="Calibri" w:cs="Calibri"/>
                <w:lang w:val="es-ES_tradnl" w:eastAsia="es-ES"/>
              </w:rPr>
              <w:t xml:space="preserve"> </w:t>
            </w:r>
            <w:r w:rsidRPr="008668EF">
              <w:rPr>
                <w:rFonts w:ascii="Calibri" w:eastAsia="Times New Roman" w:hAnsi="Calibri" w:cs="Calibri"/>
                <w:b/>
                <w:bCs/>
                <w:lang w:val="es-ES_tradnl" w:eastAsia="es-ES"/>
              </w:rPr>
              <w:t>Justicia y Relaciones con las Cortes.</w:t>
            </w:r>
          </w:p>
          <w:p w14:paraId="46B2C0F8" w14:textId="77777777" w:rsidR="008668EF" w:rsidRPr="008668EF" w:rsidRDefault="008668EF" w:rsidP="008668EF">
            <w:pPr>
              <w:numPr>
                <w:ilvl w:val="0"/>
                <w:numId w:val="30"/>
              </w:numPr>
              <w:spacing w:after="0" w:line="240" w:lineRule="auto"/>
              <w:jc w:val="both"/>
              <w:rPr>
                <w:rFonts w:ascii="Calibri" w:eastAsia="Times New Roman" w:hAnsi="Calibri" w:cs="Calibri"/>
                <w:lang w:val="es-ES_tradnl" w:eastAsia="es-ES"/>
              </w:rPr>
            </w:pPr>
            <w:r w:rsidRPr="008668EF">
              <w:rPr>
                <w:rFonts w:ascii="Calibri" w:eastAsia="Times New Roman" w:hAnsi="Calibri" w:cs="Calibri"/>
                <w:lang w:val="es-ES_tradnl" w:eastAsia="es-ES"/>
              </w:rPr>
              <w:t xml:space="preserve">De la </w:t>
            </w:r>
            <w:r w:rsidRPr="008668EF">
              <w:rPr>
                <w:rFonts w:ascii="Calibri" w:eastAsia="Times New Roman" w:hAnsi="Calibri" w:cs="Calibri"/>
                <w:b/>
                <w:lang w:val="es-ES_tradnl" w:eastAsia="es-ES"/>
              </w:rPr>
              <w:t>Secretaría General Técnica del Ministerio de Ciencia, Innovación y Universidades</w:t>
            </w:r>
            <w:r w:rsidRPr="008668EF">
              <w:rPr>
                <w:rFonts w:ascii="Calibri" w:eastAsia="Times New Roman" w:hAnsi="Calibri" w:cs="Calibri"/>
                <w:lang w:val="es-ES_tradnl" w:eastAsia="es-ES"/>
              </w:rPr>
              <w:t xml:space="preserve">. </w:t>
            </w:r>
          </w:p>
          <w:p w14:paraId="52A1D0E5" w14:textId="77777777" w:rsidR="008668EF" w:rsidRPr="008668EF" w:rsidRDefault="008668EF" w:rsidP="008668EF">
            <w:pPr>
              <w:numPr>
                <w:ilvl w:val="0"/>
                <w:numId w:val="30"/>
              </w:numPr>
              <w:spacing w:after="0" w:line="240" w:lineRule="auto"/>
              <w:jc w:val="both"/>
              <w:rPr>
                <w:rFonts w:ascii="Calibri" w:eastAsia="Times New Roman" w:hAnsi="Calibri" w:cs="Calibri"/>
                <w:lang w:val="es-ES_tradnl" w:eastAsia="es-ES"/>
              </w:rPr>
            </w:pPr>
            <w:r w:rsidRPr="008668EF">
              <w:rPr>
                <w:rFonts w:ascii="Calibri" w:eastAsia="Times New Roman" w:hAnsi="Calibri" w:cs="Calibri"/>
                <w:lang w:val="es-ES_tradnl" w:eastAsia="es-ES"/>
              </w:rPr>
              <w:t xml:space="preserve">Del </w:t>
            </w:r>
            <w:r w:rsidRPr="008668EF">
              <w:rPr>
                <w:rFonts w:ascii="Calibri" w:eastAsia="Times New Roman" w:hAnsi="Calibri" w:cs="Calibri"/>
                <w:b/>
                <w:lang w:val="es-ES_tradnl" w:eastAsia="es-ES"/>
              </w:rPr>
              <w:t>Ministerio de Hacienda</w:t>
            </w:r>
            <w:r w:rsidRPr="008668EF">
              <w:rPr>
                <w:rFonts w:ascii="Calibri" w:eastAsia="Times New Roman" w:hAnsi="Calibri" w:cs="Calibri"/>
                <w:lang w:val="es-ES_tradnl" w:eastAsia="es-ES"/>
              </w:rPr>
              <w:t>.</w:t>
            </w:r>
          </w:p>
          <w:p w14:paraId="24D7C320" w14:textId="77777777" w:rsidR="008668EF" w:rsidRPr="008668EF" w:rsidRDefault="008668EF" w:rsidP="008668EF">
            <w:pPr>
              <w:spacing w:after="0" w:line="240" w:lineRule="auto"/>
              <w:jc w:val="both"/>
              <w:rPr>
                <w:rFonts w:ascii="Calibri" w:eastAsia="Times New Roman" w:hAnsi="Calibri" w:cs="Calibri"/>
                <w:lang w:val="es-ES_tradnl" w:eastAsia="es-ES"/>
              </w:rPr>
            </w:pPr>
          </w:p>
          <w:p w14:paraId="0465659D" w14:textId="39B8F386" w:rsidR="008668EF" w:rsidRPr="008668EF" w:rsidRDefault="008668EF" w:rsidP="008668EF">
            <w:pPr>
              <w:spacing w:after="0" w:line="240" w:lineRule="auto"/>
              <w:jc w:val="both"/>
              <w:rPr>
                <w:rFonts w:ascii="Calibri" w:eastAsia="Times New Roman" w:hAnsi="Calibri" w:cs="Calibri"/>
                <w:lang w:val="es-ES_tradnl" w:eastAsia="es-ES"/>
              </w:rPr>
            </w:pPr>
            <w:r w:rsidRPr="008668EF">
              <w:rPr>
                <w:rFonts w:ascii="Calibri" w:eastAsia="Times New Roman" w:hAnsi="Calibri" w:cs="Calibri"/>
                <w:lang w:val="es-ES_tradnl" w:eastAsia="es-ES"/>
              </w:rPr>
              <w:t xml:space="preserve">De igual manera, se </w:t>
            </w:r>
            <w:r>
              <w:rPr>
                <w:rFonts w:ascii="Calibri" w:eastAsia="Times New Roman" w:hAnsi="Calibri" w:cs="Calibri"/>
                <w:lang w:val="es-ES_tradnl" w:eastAsia="es-ES"/>
              </w:rPr>
              <w:t>solicitará</w:t>
            </w:r>
            <w:r w:rsidRPr="008668EF">
              <w:rPr>
                <w:rFonts w:ascii="Calibri" w:eastAsia="Times New Roman" w:hAnsi="Calibri" w:cs="Calibri"/>
                <w:lang w:val="es-ES_tradnl" w:eastAsia="es-ES"/>
              </w:rPr>
              <w:t xml:space="preserve"> la aprobación previa del </w:t>
            </w:r>
            <w:r w:rsidRPr="008668EF">
              <w:rPr>
                <w:rFonts w:ascii="Calibri" w:eastAsia="Times New Roman" w:hAnsi="Calibri" w:cs="Calibri"/>
                <w:b/>
                <w:bCs/>
                <w:lang w:val="es-ES_tradnl" w:eastAsia="es-ES"/>
              </w:rPr>
              <w:t>Ministerio para la Transformación Digital y de la Función Pública.</w:t>
            </w:r>
          </w:p>
          <w:p w14:paraId="54BD856F" w14:textId="76C9EEA4" w:rsidR="00347696" w:rsidRPr="00CC4711" w:rsidRDefault="00347696" w:rsidP="00347696">
            <w:pPr>
              <w:spacing w:after="0" w:line="240" w:lineRule="auto"/>
              <w:jc w:val="both"/>
              <w:rPr>
                <w:rFonts w:ascii="Calibri" w:eastAsia="Times New Roman" w:hAnsi="Calibri" w:cs="Calibri"/>
                <w:lang w:val="es-ES_tradnl" w:eastAsia="es-ES"/>
              </w:rPr>
            </w:pPr>
          </w:p>
        </w:tc>
      </w:tr>
      <w:tr w:rsidR="00347696" w:rsidRPr="00CC4711" w14:paraId="0BAB529A" w14:textId="77777777" w:rsidTr="00C60AFB">
        <w:trPr>
          <w:trHeight w:val="616"/>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02D0E5B6"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Trámite de audiencia</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091527FA" w14:textId="2AE44AAE" w:rsidR="00347696" w:rsidRPr="00CC4711" w:rsidRDefault="000A0A4E" w:rsidP="000A0A4E">
            <w:pPr>
              <w:tabs>
                <w:tab w:val="left" w:pos="2700"/>
              </w:tabs>
              <w:spacing w:after="0" w:line="240" w:lineRule="auto"/>
              <w:jc w:val="both"/>
              <w:rPr>
                <w:rFonts w:ascii="Calibri" w:eastAsia="Times New Roman" w:hAnsi="Calibri" w:cs="Calibri"/>
                <w:lang w:eastAsia="es-ES"/>
              </w:rPr>
            </w:pPr>
            <w:r w:rsidRPr="000A0A4E">
              <w:rPr>
                <w:rFonts w:ascii="Calibri" w:eastAsia="Times New Roman" w:hAnsi="Calibri" w:cs="Calibri"/>
                <w:lang w:val="es-ES_tradnl" w:eastAsia="es-ES"/>
              </w:rPr>
              <w:t xml:space="preserve">Se </w:t>
            </w:r>
            <w:r>
              <w:rPr>
                <w:rFonts w:ascii="Calibri" w:eastAsia="Times New Roman" w:hAnsi="Calibri" w:cs="Calibri"/>
                <w:lang w:val="es-ES_tradnl" w:eastAsia="es-ES"/>
              </w:rPr>
              <w:t>somete</w:t>
            </w:r>
            <w:r w:rsidRPr="000A0A4E">
              <w:rPr>
                <w:rFonts w:ascii="Calibri" w:eastAsia="Times New Roman" w:hAnsi="Calibri" w:cs="Calibri"/>
                <w:lang w:val="es-ES_tradnl" w:eastAsia="es-ES"/>
              </w:rPr>
              <w:t xml:space="preserve"> el proyecto de real decreto al </w:t>
            </w:r>
            <w:r w:rsidRPr="000A0A4E">
              <w:rPr>
                <w:rFonts w:ascii="Calibri" w:eastAsia="Times New Roman" w:hAnsi="Calibri" w:cs="Calibri"/>
                <w:b/>
                <w:bCs/>
                <w:lang w:val="es-ES_tradnl" w:eastAsia="es-ES"/>
              </w:rPr>
              <w:t>trámite de audiencia e información pública</w:t>
            </w:r>
            <w:r w:rsidRPr="000A0A4E">
              <w:rPr>
                <w:rFonts w:ascii="Calibri" w:eastAsia="Times New Roman" w:hAnsi="Calibri" w:cs="Calibri"/>
                <w:lang w:val="es-ES_tradnl" w:eastAsia="es-ES"/>
              </w:rPr>
              <w:t>, de acuerdo con el artículo 26.6 de la Ley 50/1997, de 27 de noviembre.</w:t>
            </w:r>
          </w:p>
        </w:tc>
      </w:tr>
      <w:tr w:rsidR="00347696" w:rsidRPr="00CC4711" w14:paraId="1B20BD7C" w14:textId="77777777" w:rsidTr="00C60AFB">
        <w:trPr>
          <w:cantSplit/>
          <w:trHeight w:val="322"/>
          <w:jc w:val="center"/>
        </w:trPr>
        <w:tc>
          <w:tcPr>
            <w:tcW w:w="9684" w:type="dxa"/>
            <w:gridSpan w:val="5"/>
            <w:tcBorders>
              <w:top w:val="single" w:sz="16" w:space="0" w:color="000000"/>
              <w:left w:val="single" w:sz="32" w:space="0" w:color="000000"/>
              <w:bottom w:val="single" w:sz="16" w:space="0" w:color="000000"/>
              <w:right w:val="single" w:sz="32" w:space="0" w:color="000000"/>
            </w:tcBorders>
            <w:shd w:val="clear" w:color="auto" w:fill="F2D904"/>
            <w:tcMar>
              <w:top w:w="100" w:type="dxa"/>
              <w:left w:w="100" w:type="dxa"/>
              <w:bottom w:w="100" w:type="dxa"/>
              <w:right w:w="100" w:type="dxa"/>
            </w:tcMar>
          </w:tcPr>
          <w:p w14:paraId="468C9AF0" w14:textId="3349926F"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center"/>
              <w:rPr>
                <w:rFonts w:ascii="Calibri" w:eastAsia="ヒラギノ角ゴ Pro W3" w:hAnsi="Calibri" w:cs="Calibri"/>
                <w:b/>
                <w:lang w:val="es-ES_tradnl"/>
              </w:rPr>
            </w:pPr>
            <w:r w:rsidRPr="00CC4711">
              <w:rPr>
                <w:rFonts w:ascii="Calibri" w:eastAsia="ヒラギノ角ゴ Pro W3" w:hAnsi="Calibri" w:cs="Calibri"/>
                <w:b/>
                <w:lang w:val="es-ES_tradnl"/>
              </w:rPr>
              <w:t>AN</w:t>
            </w:r>
            <w:r w:rsidR="00BB00D1">
              <w:rPr>
                <w:rFonts w:ascii="Calibri" w:eastAsia="ヒラギノ角ゴ Pro W3" w:hAnsi="Calibri" w:cs="Calibri"/>
                <w:b/>
                <w:lang w:val="es-ES_tradnl"/>
              </w:rPr>
              <w:t>Á</w:t>
            </w:r>
            <w:r w:rsidRPr="00CC4711">
              <w:rPr>
                <w:rFonts w:ascii="Calibri" w:eastAsia="ヒラギノ角ゴ Pro W3" w:hAnsi="Calibri" w:cs="Calibri"/>
                <w:b/>
                <w:lang w:val="es-ES_tradnl"/>
              </w:rPr>
              <w:t>LISIS DE IMPACTOS</w:t>
            </w:r>
          </w:p>
        </w:tc>
      </w:tr>
      <w:tr w:rsidR="00347696" w:rsidRPr="00CC4711" w14:paraId="166D171C" w14:textId="77777777" w:rsidTr="00C60AFB">
        <w:trPr>
          <w:cantSplit/>
          <w:trHeight w:val="588"/>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5211FEC9"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ADECUACIÓN AL ORDEN DE COMPETENCIAS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vAlign w:val="center"/>
          </w:tcPr>
          <w:p w14:paraId="14E453BC" w14:textId="23EAACF6" w:rsidR="00347696" w:rsidRPr="00CC4711" w:rsidRDefault="00347696" w:rsidP="00347696">
            <w:pPr>
              <w:spacing w:before="60" w:after="60" w:line="240" w:lineRule="auto"/>
              <w:jc w:val="both"/>
              <w:rPr>
                <w:rFonts w:ascii="Calibri" w:eastAsia="Times New Roman" w:hAnsi="Calibri" w:cs="Calibri"/>
                <w:lang w:eastAsia="es-ES"/>
              </w:rPr>
            </w:pPr>
            <w:r w:rsidRPr="00CC4711">
              <w:rPr>
                <w:rFonts w:ascii="Calibri" w:eastAsia="Times New Roman" w:hAnsi="Calibri" w:cs="Calibri"/>
                <w:lang w:eastAsia="es-ES"/>
              </w:rPr>
              <w:t xml:space="preserve">El proyecto de real decreto se </w:t>
            </w:r>
            <w:r>
              <w:rPr>
                <w:rFonts w:ascii="Calibri" w:eastAsia="Times New Roman" w:hAnsi="Calibri" w:cs="Calibri"/>
                <w:lang w:eastAsia="es-ES"/>
              </w:rPr>
              <w:t>dicta</w:t>
            </w:r>
            <w:r w:rsidRPr="00CC4711">
              <w:rPr>
                <w:rFonts w:ascii="Calibri" w:eastAsia="Times New Roman" w:hAnsi="Calibri" w:cs="Calibri"/>
                <w:lang w:eastAsia="es-ES"/>
              </w:rPr>
              <w:t xml:space="preserve"> al amparo de lo dispuesto en el artículo 149.1.15.ª de la Constitución, que atribuye al Estado la competencia exclusiva en materia de fomento y coordinación general de la investigación científica y técnica. </w:t>
            </w:r>
          </w:p>
        </w:tc>
      </w:tr>
      <w:tr w:rsidR="00347696" w:rsidRPr="00CC4711" w14:paraId="273405CE" w14:textId="77777777" w:rsidTr="00C60AFB">
        <w:trPr>
          <w:cantSplit/>
          <w:trHeight w:val="116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721C4F68"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lastRenderedPageBreak/>
              <w:t>IMPACTO ECONÓMICO Y PRESUPUESTARIO</w:t>
            </w: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431F3880"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r w:rsidRPr="00CC4711">
              <w:rPr>
                <w:rFonts w:ascii="Calibri" w:eastAsia="ヒラギノ角ゴ Pro W3" w:hAnsi="Calibri" w:cs="Calibri"/>
                <w:lang w:val="es-ES_tradnl"/>
              </w:rPr>
              <w:t>Efectos sobre la economía en general.</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1FC759BF" w14:textId="77777777" w:rsidR="00347696" w:rsidRPr="00CC4711" w:rsidRDefault="00347696" w:rsidP="00347696">
            <w:pPr>
              <w:spacing w:after="0" w:line="240" w:lineRule="auto"/>
              <w:rPr>
                <w:rFonts w:ascii="Calibri" w:eastAsia="Times New Roman" w:hAnsi="Calibri" w:cs="Calibri"/>
                <w:lang w:val="es-ES_tradnl" w:eastAsia="es-ES"/>
              </w:rPr>
            </w:pPr>
          </w:p>
          <w:p w14:paraId="3DCAC6A9" w14:textId="1DF62552" w:rsidR="00347696" w:rsidRPr="00CC4711" w:rsidRDefault="006127B4" w:rsidP="00347696">
            <w:pPr>
              <w:spacing w:after="0" w:line="240" w:lineRule="auto"/>
              <w:rPr>
                <w:rFonts w:ascii="Calibri" w:eastAsia="Times New Roman" w:hAnsi="Calibri" w:cs="Calibri"/>
                <w:lang w:val="es-ES_tradnl" w:eastAsia="es-ES"/>
              </w:rPr>
            </w:pPr>
            <w:r>
              <w:rPr>
                <w:rFonts w:ascii="Calibri" w:eastAsia="Times New Roman" w:hAnsi="Calibri" w:cs="Calibri"/>
                <w:lang w:val="es-ES_tradnl" w:eastAsia="es-ES"/>
              </w:rPr>
              <w:t>Tiene un impacto positivo.</w:t>
            </w:r>
          </w:p>
        </w:tc>
      </w:tr>
      <w:tr w:rsidR="00347696" w:rsidRPr="00CC4711" w14:paraId="4B07C4EE" w14:textId="77777777" w:rsidTr="00C60AFB">
        <w:trPr>
          <w:cantSplit/>
          <w:trHeight w:val="200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11CF8376"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60F2EE40"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r w:rsidRPr="00CC4711">
              <w:rPr>
                <w:rFonts w:ascii="Calibri" w:eastAsia="ヒラギノ角ゴ Pro W3" w:hAnsi="Calibri" w:cs="Calibri"/>
                <w:lang w:val="es-ES_tradnl"/>
              </w:rPr>
              <w:t>En relación con la competencia</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62AB09C7" w14:textId="7ACD41C0"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3D09507C" wp14:editId="2961845B">
                      <wp:extent cx="165100" cy="177800"/>
                      <wp:effectExtent l="0" t="0" r="0" b="0"/>
                      <wp:docPr id="15"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00B5B99"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D09507C" id="Rectangle 25" o:spid="_x0000_s102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kF25/Q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NXyZ3qaTFroDEYsw65L+ERkD&#10;4A/ORtJkw8P3nUDFmfngaOhVWa0Sl/HMwzOvPfOEkwTX8MjZbF7HWfw7j3o7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BokF25/QEAABUEAAAOAAAAAAAAAAAAAAAAAC4CAABk&#10;cnMvZTJvRG9jLnhtbFBLAQItABQABgAIAAAAIQBrDc361gAAAAMBAAAPAAAAAAAAAAAAAAAAAFcE&#10;AABkcnMvZG93bnJldi54bWxQSwUGAAAAAAQABADzAAAAWgUAAAAA&#10;" fillcolor="#333" strokeweight="1pt">
                      <v:path arrowok="t"/>
                      <v:textbox inset="8pt,8pt,8pt,8pt">
                        <w:txbxContent>
                          <w:p w14:paraId="500B5B99"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eastAsia="es-ES"/>
              </w:rPr>
              <w:t xml:space="preserve"> </w:t>
            </w:r>
            <w:r w:rsidRPr="00CC4711">
              <w:rPr>
                <w:rFonts w:ascii="Calibri" w:eastAsia="ヒラギノ角ゴ Pro W3" w:hAnsi="Calibri" w:cs="Calibri"/>
                <w:lang w:val="es-ES_tradnl"/>
              </w:rPr>
              <w:t>La norma no tiene efectos significativos sobre la competencia.</w:t>
            </w:r>
          </w:p>
          <w:p w14:paraId="56A31326"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1D1F72B3" wp14:editId="5A7FF61F">
                      <wp:extent cx="165100" cy="177800"/>
                      <wp:effectExtent l="0" t="0" r="0" b="0"/>
                      <wp:docPr id="14" name="Rectangle 2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5C88A07"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1D1F72B3" id="Rectangle 26" o:spid="_x0000_s102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OKQ+gEAAOwDAAAOAAAAZHJzL2Uyb0RvYy54bWysU1Fv0zAQfkfiP1h+p0mK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zZTikPoBAADsAwAADgAAAAAAAAAAAAAAAAAuAgAA&#10;ZHJzL2Uyb0RvYy54bWxQSwECLQAUAAYACAAAACEAr/YCoNoAAAADAQAADwAAAAAAAAAAAAAAAABU&#10;BAAAZHJzL2Rvd25yZXYueG1sUEsFBgAAAAAEAAQA8wAAAFsFAAAAAA==&#10;" filled="f" strokeweight="1pt">
                      <v:path arrowok="t"/>
                      <v:textbox inset="8pt,8pt,8pt,8pt">
                        <w:txbxContent>
                          <w:p w14:paraId="65C88A07"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rPr>
              <w:t xml:space="preserve"> La norma tiene efectos positivos sobre la competencia.</w:t>
            </w:r>
          </w:p>
          <w:p w14:paraId="49227C4F"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7A11ECD5" wp14:editId="1CB7A4F6">
                      <wp:extent cx="165100" cy="177800"/>
                      <wp:effectExtent l="0" t="0" r="0" b="0"/>
                      <wp:docPr id="13" name="Rectangle 2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EEFDA45"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A11ECD5" id="Rectangle 27" o:spid="_x0000_s103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kTk4+gEAAOw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Nfxt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MpE5OPoBAADsAwAADgAAAAAAAAAAAAAAAAAuAgAA&#10;ZHJzL2Uyb0RvYy54bWxQSwECLQAUAAYACAAAACEAr/YCoNoAAAADAQAADwAAAAAAAAAAAAAAAABU&#10;BAAAZHJzL2Rvd25yZXYueG1sUEsFBgAAAAAEAAQA8wAAAFsFAAAAAA==&#10;" filled="f" strokeweight="1pt">
                      <v:path arrowok="t"/>
                      <v:textbox inset="8pt,8pt,8pt,8pt">
                        <w:txbxContent>
                          <w:p w14:paraId="6EEFDA45"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rPr>
              <w:t xml:space="preserve"> La norma tiene efectos negativos sobre la competencia.</w:t>
            </w:r>
          </w:p>
        </w:tc>
      </w:tr>
      <w:tr w:rsidR="00347696" w:rsidRPr="00CC4711" w14:paraId="1A9CE21E" w14:textId="77777777" w:rsidTr="00C60AFB">
        <w:trPr>
          <w:cantSplit/>
          <w:trHeight w:val="234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041ABD53"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10DDCAFC"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r w:rsidRPr="00CC4711">
              <w:rPr>
                <w:rFonts w:ascii="Calibri" w:eastAsia="ヒラギノ角ゴ Pro W3" w:hAnsi="Calibri" w:cs="Calibri"/>
                <w:lang w:val="es-ES_tradnl"/>
              </w:rPr>
              <w:t>Desde el punto de vista de las cargas administrativas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27C0D102"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4C403554" wp14:editId="564AA7B0">
                      <wp:extent cx="165100" cy="177800"/>
                      <wp:effectExtent l="0" t="0" r="0" b="0"/>
                      <wp:docPr id="12" name="Rectangle 2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B084D1C"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403554" id="Rectangle 28" o:spid="_x0000_s1031"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pMhz/oBAADsAwAADgAAAAAAAAAAAAAAAAAuAgAA&#10;ZHJzL2Uyb0RvYy54bWxQSwECLQAUAAYACAAAACEAr/YCoNoAAAADAQAADwAAAAAAAAAAAAAAAABU&#10;BAAAZHJzL2Rvd25yZXYueG1sUEsFBgAAAAAEAAQA8wAAAFsFAAAAAA==&#10;" filled="f" strokeweight="1pt">
                      <v:path arrowok="t"/>
                      <v:textbox inset="8pt,8pt,8pt,8pt">
                        <w:txbxContent>
                          <w:p w14:paraId="3B084D1C"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rPr>
              <w:t xml:space="preserve"> Supone una reducción de cargas administrativas. </w:t>
            </w:r>
          </w:p>
          <w:p w14:paraId="2B1EFAB1"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lang w:val="es-ES_tradnl"/>
              </w:rPr>
              <w:t>Cuantificación estimada:________________</w:t>
            </w:r>
          </w:p>
          <w:p w14:paraId="5E841E48"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090FF26B" wp14:editId="43D3A06D">
                      <wp:extent cx="165100" cy="177800"/>
                      <wp:effectExtent l="0" t="0" r="0" b="0"/>
                      <wp:docPr id="11" name="Rectangle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65881C5"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090FF26B" id="Rectangle 20" o:spid="_x0000_s1032"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u5N4DfoBAADsAwAADgAAAAAAAAAAAAAAAAAuAgAA&#10;ZHJzL2Uyb0RvYy54bWxQSwECLQAUAAYACAAAACEAr/YCoNoAAAADAQAADwAAAAAAAAAAAAAAAABU&#10;BAAAZHJzL2Rvd25yZXYueG1sUEsFBgAAAAAEAAQA8wAAAFsFAAAAAA==&#10;" filled="f" strokeweight="1pt">
                      <v:path arrowok="t"/>
                      <v:textbox inset="8pt,8pt,8pt,8pt">
                        <w:txbxContent>
                          <w:p w14:paraId="665881C5"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rPr>
              <w:t xml:space="preserve"> Incorpora nuevas cargas administrativas. </w:t>
            </w:r>
          </w:p>
          <w:p w14:paraId="0D8AA306"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28BE6039" wp14:editId="2A7E3064">
                      <wp:extent cx="165100" cy="177800"/>
                      <wp:effectExtent l="0" t="0" r="0" b="0"/>
                      <wp:docPr id="10" name="Rectangle 1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38E74A54"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8BE6039" id="Rectangle 19" o:spid="_x0000_s1033"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" fillcolor="#333" strokeweight="1pt">
                      <v:path arrowok="t"/>
                      <v:textbox inset="8pt,8pt,8pt,8pt">
                        <w:txbxContent>
                          <w:p w14:paraId="38E74A54"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rPr>
              <w:t xml:space="preserve"> No afecta a las cargas administrativas de las empresas.</w:t>
            </w:r>
          </w:p>
        </w:tc>
      </w:tr>
      <w:tr w:rsidR="00347696" w:rsidRPr="00CC4711" w14:paraId="09ACE50E" w14:textId="77777777" w:rsidTr="00347696">
        <w:trPr>
          <w:cantSplit/>
          <w:trHeight w:val="2160"/>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left w:w="0" w:type="dxa"/>
              <w:right w:w="0" w:type="dxa"/>
            </w:tcMar>
          </w:tcPr>
          <w:p w14:paraId="0F9B5093"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546EC94E"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lang w:val="es-ES_tradnl"/>
              </w:rPr>
              <w:t>Desde el punto de vista de los presupuestos, la norma</w:t>
            </w:r>
          </w:p>
          <w:p w14:paraId="392D8E20"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46134352" wp14:editId="6C0A7634">
                      <wp:extent cx="165100" cy="177800"/>
                      <wp:effectExtent l="0" t="0" r="0" b="0"/>
                      <wp:docPr id="9" name="Rectangle 1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solidFill>
                                <a:srgbClr val="333333"/>
                              </a:solidFill>
                              <a:ln w="12700">
                                <a:solidFill>
                                  <a:srgbClr val="000000"/>
                                </a:solidFill>
                                <a:miter lim="800000"/>
                                <a:headEnd/>
                                <a:tailEnd/>
                              </a:ln>
                            </wps:spPr>
                            <wps:txbx>
                              <w:txbxContent>
                                <w:p w14:paraId="5E364A1C"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6134352" id="Rectangle 18" o:spid="_x0000_s1034"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" fillcolor="#333" strokeweight="1pt">
                      <v:path arrowok="t"/>
                      <v:textbox inset="8pt,8pt,8pt,8pt">
                        <w:txbxContent>
                          <w:p w14:paraId="5E364A1C"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eastAsia="es-ES"/>
              </w:rPr>
              <w:t xml:space="preserve">   </w:t>
            </w:r>
            <w:r w:rsidRPr="00CC4711">
              <w:rPr>
                <w:rFonts w:ascii="Calibri" w:eastAsia="ヒラギノ角ゴ Pro W3" w:hAnsi="Calibri" w:cs="Calibri"/>
                <w:lang w:val="es-ES_tradnl"/>
              </w:rPr>
              <w:t xml:space="preserve">Afecta a los presupuestos de </w:t>
            </w:r>
            <w:smartTag w:uri="urn:schemas-microsoft-com:office:smarttags" w:element="PersonName">
              <w:smartTagPr>
                <w:attr w:name="ProductID" w:val="la Administraci￳n"/>
              </w:smartTagPr>
              <w:r w:rsidRPr="00CC4711">
                <w:rPr>
                  <w:rFonts w:ascii="Calibri" w:eastAsia="ヒラギノ角ゴ Pro W3" w:hAnsi="Calibri" w:cs="Calibri"/>
                  <w:lang w:val="es-ES_tradnl"/>
                </w:rPr>
                <w:t>la Administración</w:t>
              </w:r>
            </w:smartTag>
            <w:r w:rsidRPr="00CC4711">
              <w:rPr>
                <w:rFonts w:ascii="Calibri" w:eastAsia="ヒラギノ角ゴ Pro W3" w:hAnsi="Calibri" w:cs="Calibri"/>
                <w:lang w:val="es-ES_tradnl"/>
              </w:rPr>
              <w:t xml:space="preserve"> del Estado.</w:t>
            </w:r>
          </w:p>
          <w:p w14:paraId="23B244D5"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6865ABCA" wp14:editId="1F7C4AD0">
                      <wp:extent cx="165100" cy="177800"/>
                      <wp:effectExtent l="0" t="0" r="0" b="0"/>
                      <wp:docPr id="8" name="Rectangle 2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3DD25D89"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6865ABCA" id="Rectangle 29" o:spid="_x0000_s1035"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nKdw+gEAAOwDAAAOAAAAZHJzL2Uyb0RvYy54bWysU1Fv0zAQfkfiP1h+p0kq0Y6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bVUS85JC1Xp9RXaqIOqnxx5D&#10;/KhhYMloONLKMrg43Ic4pz6lpFoO7oy1eW3WsZFAl2vCzAOANSpFs4O79sYiO4i0+fydCoeXaYOJ&#10;pD9rhoZTa/TNiui1UB+cymWiMHa2qWvrTvQkRpLKQh2ndmJGNfxdeptuWlBH4gthlhv9HmT0gL84&#10;G0lqDQ8/9wI1Z/aTo11WZbVKFMULDy+89sITThJcwyNns3kTZ03vPZpdT9WqzIiD97SrzmQenzs7&#10;jUCSyps4yT9p9qWfs55/0u1vAA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YJyncPoBAADsAwAADgAAAAAAAAAAAAAAAAAuAgAA&#10;ZHJzL2Uyb0RvYy54bWxQSwECLQAUAAYACAAAACEAr/YCoNoAAAADAQAADwAAAAAAAAAAAAAAAABU&#10;BAAAZHJzL2Rvd25yZXYueG1sUEsFBgAAAAAEAAQA8wAAAFsFAAAAAA==&#10;" filled="f" strokeweight="1pt">
                      <v:path arrowok="t"/>
                      <v:textbox inset="8pt,8pt,8pt,8pt">
                        <w:txbxContent>
                          <w:p w14:paraId="3DD25D89"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rPr>
              <w:t xml:space="preserve"> Afecta a los presupuestos de otras Administraciones Territoriales.</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bottom w:w="100" w:type="dxa"/>
            </w:tcMar>
          </w:tcPr>
          <w:p w14:paraId="090765BE"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7E4ECCA6" wp14:editId="300DFA43">
                      <wp:extent cx="165100" cy="177800"/>
                      <wp:effectExtent l="0" t="0" r="0" b="0"/>
                      <wp:docPr id="7" name="Rectangle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solidFill>
                                  <a:srgbClr val="000000"/>
                                </a:solidFill>
                                <a:miter lim="800000"/>
                                <a:headEnd/>
                                <a:tailEnd/>
                              </a:ln>
                            </wps:spPr>
                            <wps:txbx>
                              <w:txbxContent>
                                <w:p w14:paraId="24D5077C"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E4ECCA6" id="Rectangle 17" o:spid="_x0000_s1036"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" fillcolor="black" strokeweight="1pt">
                      <v:fill color2="black" rotate="t" focus="100%" type="gradient"/>
                      <v:path arrowok="t"/>
                      <v:textbox inset="8pt,8pt,8pt,8pt">
                        <w:txbxContent>
                          <w:p w14:paraId="24D5077C"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eastAsia="es-ES"/>
              </w:rPr>
              <w:t xml:space="preserve">   </w:t>
            </w:r>
            <w:r w:rsidRPr="00CC4711">
              <w:rPr>
                <w:rFonts w:ascii="Calibri" w:eastAsia="ヒラギノ角ゴ Pro W3" w:hAnsi="Calibri" w:cs="Calibri"/>
                <w:lang w:val="es-ES_tradnl"/>
              </w:rPr>
              <w:t>Implica un gasto.</w:t>
            </w:r>
          </w:p>
          <w:p w14:paraId="7BD6CCA3"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r w:rsidRPr="00CC4711">
              <w:rPr>
                <w:rFonts w:ascii="Calibri" w:eastAsia="ヒラギノ角ゴ Pro W3" w:hAnsi="Calibri" w:cs="Calibri"/>
                <w:noProof/>
                <w:lang w:eastAsia="es-ES"/>
              </w:rPr>
              <mc:AlternateContent>
                <mc:Choice Requires="wps">
                  <w:drawing>
                    <wp:inline distT="0" distB="0" distL="0" distR="0" wp14:anchorId="23469CDB" wp14:editId="66FC4018">
                      <wp:extent cx="165100" cy="177800"/>
                      <wp:effectExtent l="0" t="0" r="0" b="0"/>
                      <wp:docPr id="6"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09B492A4"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23469CDB" id="Rectangle 30" o:spid="_x0000_s1037"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YvT7+g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o06q9DhdtdAdiTCEWW/0f5AxAP7h&#10;bCStNTz83gtUnJnPjpZZldUqcRQvPLzw2gtPOElwDY+czeZNnEW996h3A1WrMiUOPtCyep2JfOrs&#10;NANpKq/ipP8k2ud+znr6S7d/AQ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VGL0+/oBAADtAwAADgAAAAAAAAAAAAAAAAAuAgAA&#10;ZHJzL2Uyb0RvYy54bWxQSwECLQAUAAYACAAAACEAr/YCoNoAAAADAQAADwAAAAAAAAAAAAAAAABU&#10;BAAAZHJzL2Rvd25yZXYueG1sUEsFBgAAAAAEAAQA8wAAAFsFAAAAAA==&#10;" filled="f" strokeweight="1pt">
                      <v:path arrowok="t"/>
                      <v:textbox inset="8pt,8pt,8pt,8pt">
                        <w:txbxContent>
                          <w:p w14:paraId="09B492A4"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eastAsia="es-ES"/>
              </w:rPr>
              <w:t xml:space="preserve">  </w:t>
            </w:r>
            <w:r w:rsidRPr="00CC4711">
              <w:rPr>
                <w:rFonts w:ascii="Calibri" w:eastAsia="ヒラギノ角ゴ Pro W3" w:hAnsi="Calibri" w:cs="Calibri"/>
                <w:lang w:val="es-ES_tradnl"/>
              </w:rPr>
              <w:t xml:space="preserve"> Implica un ingreso. </w:t>
            </w:r>
          </w:p>
          <w:p w14:paraId="7A758644"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p>
        </w:tc>
      </w:tr>
      <w:tr w:rsidR="00347696" w:rsidRPr="00CC4711" w14:paraId="76651C79" w14:textId="77777777" w:rsidTr="00C60AFB">
        <w:trPr>
          <w:cantSplit/>
          <w:trHeight w:val="1532"/>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48DBF16C"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IMPACTO DE GÉNERO</w:t>
            </w:r>
          </w:p>
        </w:tc>
        <w:tc>
          <w:tcPr>
            <w:tcW w:w="3300" w:type="dxa"/>
            <w:tcBorders>
              <w:top w:val="single" w:sz="16" w:space="0" w:color="000000"/>
              <w:left w:val="single" w:sz="16" w:space="0" w:color="000000"/>
              <w:bottom w:val="single" w:sz="16" w:space="0" w:color="000000"/>
              <w:right w:val="single" w:sz="8" w:space="0" w:color="000000"/>
            </w:tcBorders>
            <w:shd w:val="clear" w:color="auto" w:fill="EEFFEB"/>
            <w:tcMar>
              <w:top w:w="100" w:type="dxa"/>
              <w:left w:w="100" w:type="dxa"/>
              <w:bottom w:w="100" w:type="dxa"/>
              <w:right w:w="100" w:type="dxa"/>
            </w:tcMar>
          </w:tcPr>
          <w:p w14:paraId="38C9A3F0"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both"/>
              <w:rPr>
                <w:rFonts w:ascii="Calibri" w:eastAsia="ヒラギノ角ゴ Pro W3" w:hAnsi="Calibri" w:cs="Calibri"/>
                <w:lang w:val="es-ES_tradnl"/>
              </w:rPr>
            </w:pPr>
            <w:r w:rsidRPr="00CC4711">
              <w:rPr>
                <w:rFonts w:ascii="Calibri" w:eastAsia="ヒラギノ角ゴ Pro W3" w:hAnsi="Calibri" w:cs="Calibri"/>
                <w:lang w:val="es-ES_tradnl"/>
              </w:rPr>
              <w:t>La norma tiene un impacto de género:</w:t>
            </w:r>
          </w:p>
        </w:tc>
        <w:tc>
          <w:tcPr>
            <w:tcW w:w="3307" w:type="dxa"/>
            <w:gridSpan w:val="3"/>
            <w:tcBorders>
              <w:top w:val="single" w:sz="16" w:space="0" w:color="000000"/>
              <w:left w:val="single" w:sz="8"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2AA2F0A7"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right"/>
              <w:rPr>
                <w:rFonts w:ascii="Calibri" w:eastAsia="ヒラギノ角ゴ Pro W3" w:hAnsi="Calibri" w:cs="Calibri"/>
                <w:lang w:val="es-ES_tradnl"/>
              </w:rPr>
            </w:pPr>
            <w:r w:rsidRPr="00CC4711">
              <w:rPr>
                <w:rFonts w:ascii="Calibri" w:eastAsia="ヒラギノ角ゴ Pro W3" w:hAnsi="Calibri" w:cs="Calibri"/>
                <w:lang w:val="es-ES_tradnl"/>
              </w:rPr>
              <w:t xml:space="preserve">Negativo  </w:t>
            </w:r>
            <w:r w:rsidRPr="00CC4711">
              <w:rPr>
                <w:rFonts w:ascii="Calibri" w:eastAsia="ヒラギノ角ゴ Pro W3" w:hAnsi="Calibri" w:cs="Calibri"/>
                <w:noProof/>
                <w:lang w:eastAsia="es-ES"/>
              </w:rPr>
              <mc:AlternateContent>
                <mc:Choice Requires="wps">
                  <w:drawing>
                    <wp:inline distT="0" distB="0" distL="0" distR="0" wp14:anchorId="7633BDF2" wp14:editId="3A0AD5F7">
                      <wp:extent cx="165100" cy="177800"/>
                      <wp:effectExtent l="0" t="0" r="0" b="0"/>
                      <wp:docPr id="5" name="Rectangle 3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5DF64946"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7633BDF2" id="Rectangle 31" o:spid="_x0000_s1038"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" filled="f" strokeweight="1pt">
                      <v:path arrowok="t"/>
                      <v:textbox inset="8pt,8pt,8pt,8pt">
                        <w:txbxContent>
                          <w:p w14:paraId="5DF64946"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p>
          <w:p w14:paraId="47F6EE90"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right"/>
              <w:rPr>
                <w:rFonts w:ascii="Calibri" w:eastAsia="ヒラギノ角ゴ Pro W3" w:hAnsi="Calibri" w:cs="Calibri"/>
                <w:lang w:val="es-ES_tradnl"/>
              </w:rPr>
            </w:pPr>
            <w:r w:rsidRPr="00CC4711">
              <w:rPr>
                <w:rFonts w:ascii="Calibri" w:eastAsia="ヒラギノ角ゴ Pro W3" w:hAnsi="Calibri" w:cs="Calibri"/>
                <w:lang w:val="es-ES_tradnl"/>
              </w:rPr>
              <w:t xml:space="preserve">Nulo  </w:t>
            </w:r>
            <w:r w:rsidRPr="00CC4711">
              <w:rPr>
                <w:rFonts w:ascii="Calibri" w:eastAsia="ヒラギノ角ゴ Pro W3" w:hAnsi="Calibri" w:cs="Calibri"/>
                <w:noProof/>
                <w:lang w:eastAsia="es-ES"/>
              </w:rPr>
              <mc:AlternateContent>
                <mc:Choice Requires="wps">
                  <w:drawing>
                    <wp:inline distT="0" distB="0" distL="0" distR="0" wp14:anchorId="4CBF31AE" wp14:editId="5DE1CEF4">
                      <wp:extent cx="165100" cy="177800"/>
                      <wp:effectExtent l="0" t="0" r="0" b="0"/>
                      <wp:docPr id="4" name="Rectangle 2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gradFill rotWithShape="1">
                                <a:gsLst>
                                  <a:gs pos="0">
                                    <a:srgbClr val="000000"/>
                                  </a:gs>
                                  <a:gs pos="100000">
                                    <a:srgbClr val="000000">
                                      <a:gamma/>
                                      <a:shade val="46275"/>
                                      <a:invGamma/>
                                    </a:srgbClr>
                                  </a:gs>
                                </a:gsLst>
                                <a:lin ang="5400000" scaled="1"/>
                              </a:gradFill>
                              <a:ln w="12700" algn="ctr">
                                <a:solidFill>
                                  <a:srgbClr val="000000"/>
                                </a:solidFill>
                                <a:miter lim="800000"/>
                                <a:headEnd/>
                                <a:tailEnd/>
                              </a:ln>
                              <a:effectLst/>
                              <a:extLst>
                                <a:ext uri="{AF507438-7753-43E0-B8FC-AC1667EBCBE1}">
                                  <a14:hiddenEffects xmlns:a14="http://schemas.microsoft.com/office/drawing/2010/main">
                                    <a:effectLst>
                                      <a:outerShdw dist="35921" dir="2700000" algn="ctr" rotWithShape="0">
                                        <a:srgbClr val="808080"/>
                                      </a:outerShdw>
                                    </a:effectLst>
                                  </a14:hiddenEffects>
                                </a:ext>
                              </a:extLst>
                            </wps:spPr>
                            <wps:txbx>
                              <w:txbxContent>
                                <w:p w14:paraId="7A869752"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4CBF31AE" id="Rectangle 22" o:spid="_x0000_s1039"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" fillcolor="black" strokeweight="1pt">
                      <v:fill color2="black" rotate="t" focus="100%" type="gradient"/>
                      <v:path arrowok="t"/>
                      <v:textbox inset="8pt,8pt,8pt,8pt">
                        <w:txbxContent>
                          <w:p w14:paraId="7A869752"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rPr>
              <w:t xml:space="preserve">    </w:t>
            </w:r>
          </w:p>
          <w:p w14:paraId="672AF77B"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198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jc w:val="right"/>
              <w:rPr>
                <w:rFonts w:ascii="Calibri" w:eastAsia="ヒラギノ角ゴ Pro W3" w:hAnsi="Calibri" w:cs="Calibri"/>
                <w:lang w:val="es-ES_tradnl"/>
              </w:rPr>
            </w:pPr>
            <w:r w:rsidRPr="00CC4711">
              <w:rPr>
                <w:rFonts w:ascii="Calibri" w:eastAsia="ヒラギノ角ゴ Pro W3" w:hAnsi="Calibri" w:cs="Calibri"/>
                <w:lang w:val="es-ES_tradnl"/>
              </w:rPr>
              <w:tab/>
            </w:r>
            <w:r w:rsidRPr="00CC4711">
              <w:rPr>
                <w:rFonts w:ascii="Calibri" w:eastAsia="ヒラギノ角ゴ Pro W3" w:hAnsi="Calibri" w:cs="Calibri"/>
                <w:lang w:val="es-ES_tradnl"/>
              </w:rPr>
              <w:tab/>
            </w:r>
            <w:r w:rsidRPr="00CC4711">
              <w:rPr>
                <w:rFonts w:ascii="Calibri" w:eastAsia="ヒラギノ角ゴ Pro W3" w:hAnsi="Calibri" w:cs="Calibri"/>
                <w:lang w:val="es-ES_tradnl"/>
              </w:rPr>
              <w:tab/>
              <w:t xml:space="preserve">Positivo  </w:t>
            </w:r>
            <w:r w:rsidRPr="00CC4711">
              <w:rPr>
                <w:rFonts w:ascii="Calibri" w:eastAsia="ヒラギノ角ゴ Pro W3" w:hAnsi="Calibri" w:cs="Calibri"/>
                <w:noProof/>
                <w:lang w:eastAsia="es-ES"/>
              </w:rPr>
              <mc:AlternateContent>
                <mc:Choice Requires="wps">
                  <w:drawing>
                    <wp:inline distT="0" distB="0" distL="0" distR="0" wp14:anchorId="3ACD5250" wp14:editId="71DBA193">
                      <wp:extent cx="165100" cy="177800"/>
                      <wp:effectExtent l="0" t="0" r="0" b="0"/>
                      <wp:docPr id="3" name="Rectangle 2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165100" cy="177800"/>
                              </a:xfrm>
                              <a:prstGeom prst="rect">
                                <a:avLst/>
                              </a:prstGeom>
                              <a:noFill/>
                              <a:ln w="12700">
                                <a:solidFill>
                                  <a:srgbClr val="000000"/>
                                </a:solidFill>
                                <a:miter lim="800000"/>
                                <a:headEnd/>
                                <a:tailEnd/>
                              </a:ln>
                              <a:extLst>
                                <a:ext uri="{909E8E84-426E-40DD-AFC4-6F175D3DCCD1}">
                                  <a14:hiddenFill xmlns:a14="http://schemas.microsoft.com/office/drawing/2010/main">
                                    <a:solidFill>
                                      <a:srgbClr val="FFFFFF"/>
                                    </a:solidFill>
                                  </a14:hiddenFill>
                                </a:ext>
                              </a:extLst>
                            </wps:spPr>
                            <wps:txbx>
                              <w:txbxContent>
                                <w:p w14:paraId="6F292CF7" w14:textId="77777777" w:rsidR="00C60AFB" w:rsidRDefault="00C60AFB" w:rsidP="00CC761D">
                                  <w:pPr>
                                    <w:pStyle w:val="Formatolibre"/>
                                    <w:rPr>
                                      <w:rFonts w:ascii="Times New Roman" w:eastAsia="Times New Roman" w:hAnsi="Times New Roman"/>
                                      <w:color w:val="auto"/>
                                      <w:sz w:val="20"/>
                                      <w:lang w:val="es-ES" w:eastAsia="es-ES" w:bidi="x-none"/>
                                    </w:rPr>
                                  </w:pPr>
                                </w:p>
                              </w:txbxContent>
                            </wps:txbx>
                            <wps:bodyPr rot="0" vert="horz" wrap="square" lIns="101600" tIns="101600" rIns="101600" bIns="101600" anchor="t" anchorCtr="0" upright="1">
                              <a:noAutofit/>
                            </wps:bodyPr>
                          </wps:wsp>
                        </a:graphicData>
                      </a:graphic>
                    </wp:inline>
                  </w:drawing>
                </mc:Choice>
                <mc:Fallback>
                  <w:pict>
                    <v:rect w14:anchorId="3ACD5250" id="Rectangle 21" o:spid="_x0000_s1040" style="width:13pt;height:1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" filled="f" strokeweight="1pt">
                      <v:path arrowok="t"/>
                      <v:textbox inset="8pt,8pt,8pt,8pt">
                        <w:txbxContent>
                          <w:p w14:paraId="6F292CF7" w14:textId="77777777" w:rsidR="00C60AFB" w:rsidRDefault="00C60AFB" w:rsidP="00CC761D">
                            <w:pPr>
                              <w:pStyle w:val="Formatolibre"/>
                              <w:rPr>
                                <w:rFonts w:ascii="Times New Roman" w:eastAsia="Times New Roman" w:hAnsi="Times New Roman"/>
                                <w:color w:val="auto"/>
                                <w:sz w:val="20"/>
                                <w:lang w:val="es-ES" w:eastAsia="es-ES" w:bidi="x-none"/>
                              </w:rPr>
                            </w:pPr>
                          </w:p>
                        </w:txbxContent>
                      </v:textbox>
                      <w10:anchorlock/>
                    </v:rect>
                  </w:pict>
                </mc:Fallback>
              </mc:AlternateContent>
            </w:r>
            <w:r w:rsidRPr="00CC4711">
              <w:rPr>
                <w:rFonts w:ascii="Calibri" w:eastAsia="ヒラギノ角ゴ Pro W3" w:hAnsi="Calibri" w:cs="Calibri"/>
                <w:lang w:val="es-ES_tradnl"/>
              </w:rPr>
              <w:t xml:space="preserve">   </w:t>
            </w:r>
          </w:p>
        </w:tc>
      </w:tr>
      <w:tr w:rsidR="00347696" w:rsidRPr="00CC4711" w14:paraId="0AA0309D" w14:textId="77777777" w:rsidTr="00C60AFB">
        <w:trPr>
          <w:cantSplit/>
          <w:trHeight w:val="539"/>
          <w:jc w:val="center"/>
        </w:trPr>
        <w:tc>
          <w:tcPr>
            <w:tcW w:w="3077" w:type="dxa"/>
            <w:tcBorders>
              <w:top w:val="single" w:sz="16" w:space="0" w:color="000000"/>
              <w:left w:val="single" w:sz="32" w:space="0" w:color="000000"/>
              <w:bottom w:val="single" w:sz="16" w:space="0" w:color="000000"/>
              <w:right w:val="single" w:sz="16" w:space="0" w:color="000000"/>
            </w:tcBorders>
            <w:shd w:val="clear" w:color="auto" w:fill="E3DFA6"/>
            <w:tcMar>
              <w:top w:w="100" w:type="dxa"/>
              <w:left w:w="100" w:type="dxa"/>
              <w:bottom w:w="100" w:type="dxa"/>
              <w:right w:w="100" w:type="dxa"/>
            </w:tcMar>
          </w:tcPr>
          <w:p w14:paraId="2002324A"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lastRenderedPageBreak/>
              <w:t>OTROS IMPACTOS CONSIDERADOS</w:t>
            </w:r>
          </w:p>
        </w:tc>
        <w:tc>
          <w:tcPr>
            <w:tcW w:w="6607" w:type="dxa"/>
            <w:gridSpan w:val="4"/>
            <w:tcBorders>
              <w:top w:val="single" w:sz="16" w:space="0" w:color="000000"/>
              <w:left w:val="single" w:sz="16" w:space="0" w:color="000000"/>
              <w:bottom w:val="single" w:sz="16" w:space="0" w:color="000000"/>
              <w:right w:val="single" w:sz="32" w:space="0" w:color="000000"/>
            </w:tcBorders>
            <w:shd w:val="clear" w:color="auto" w:fill="EEFFEB"/>
            <w:tcMar>
              <w:top w:w="100" w:type="dxa"/>
              <w:left w:w="100" w:type="dxa"/>
              <w:bottom w:w="100" w:type="dxa"/>
              <w:right w:w="100" w:type="dxa"/>
            </w:tcMar>
          </w:tcPr>
          <w:p w14:paraId="0F4FFCC1" w14:textId="2B099FD8"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r w:rsidRPr="00CC4711">
              <w:rPr>
                <w:rFonts w:ascii="Calibri" w:eastAsia="ヒラギノ角ゴ Pro W3" w:hAnsi="Calibri" w:cs="Calibri"/>
                <w:lang w:val="es-ES_tradnl"/>
              </w:rPr>
              <w:t xml:space="preserve">Se considera que el impacto es nulo en lo que se refiere a la infancia y la adolescencia, </w:t>
            </w:r>
            <w:r>
              <w:rPr>
                <w:rFonts w:ascii="Calibri" w:eastAsia="ヒラギノ角ゴ Pro W3" w:hAnsi="Calibri" w:cs="Calibri"/>
                <w:lang w:val="es-ES_tradnl"/>
              </w:rPr>
              <w:t xml:space="preserve">y a </w:t>
            </w:r>
            <w:r w:rsidRPr="00CC4711">
              <w:rPr>
                <w:rFonts w:ascii="Calibri" w:eastAsia="ヒラギノ角ゴ Pro W3" w:hAnsi="Calibri" w:cs="Calibri"/>
                <w:lang w:val="es-ES_tradnl"/>
              </w:rPr>
              <w:t>las familias</w:t>
            </w:r>
            <w:r>
              <w:rPr>
                <w:rFonts w:ascii="Calibri" w:eastAsia="ヒラギノ角ゴ Pro W3" w:hAnsi="Calibri" w:cs="Calibri"/>
                <w:lang w:val="es-ES_tradnl"/>
              </w:rPr>
              <w:t>; así como el impacto por razón de cambio climático.</w:t>
            </w:r>
          </w:p>
        </w:tc>
      </w:tr>
      <w:tr w:rsidR="00347696" w:rsidRPr="00CC4711" w14:paraId="0BCA0B23" w14:textId="77777777" w:rsidTr="00C60AFB">
        <w:trPr>
          <w:cantSplit/>
          <w:trHeight w:val="325"/>
          <w:jc w:val="center"/>
        </w:trPr>
        <w:tc>
          <w:tcPr>
            <w:tcW w:w="3077" w:type="dxa"/>
            <w:tcBorders>
              <w:top w:val="single" w:sz="16" w:space="0" w:color="000000"/>
              <w:left w:val="single" w:sz="32" w:space="0" w:color="000000"/>
              <w:bottom w:val="single" w:sz="32" w:space="0" w:color="000000"/>
              <w:right w:val="single" w:sz="16" w:space="0" w:color="000000"/>
            </w:tcBorders>
            <w:shd w:val="clear" w:color="auto" w:fill="E3DFA6"/>
            <w:tcMar>
              <w:top w:w="100" w:type="dxa"/>
              <w:left w:w="100" w:type="dxa"/>
              <w:bottom w:w="100" w:type="dxa"/>
              <w:right w:w="100" w:type="dxa"/>
            </w:tcMar>
          </w:tcPr>
          <w:p w14:paraId="3E75A8DD"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b/>
                <w:lang w:val="es-ES_tradnl"/>
              </w:rPr>
            </w:pPr>
            <w:r w:rsidRPr="00CC4711">
              <w:rPr>
                <w:rFonts w:ascii="Calibri" w:eastAsia="ヒラギノ角ゴ Pro W3" w:hAnsi="Calibri" w:cs="Calibri"/>
                <w:b/>
                <w:lang w:val="es-ES_tradnl"/>
              </w:rPr>
              <w:t>OTRAS CONSIDERACIONES</w:t>
            </w:r>
          </w:p>
        </w:tc>
        <w:tc>
          <w:tcPr>
            <w:tcW w:w="6607" w:type="dxa"/>
            <w:gridSpan w:val="4"/>
            <w:tcBorders>
              <w:top w:val="single" w:sz="16" w:space="0" w:color="000000"/>
              <w:left w:val="single" w:sz="16" w:space="0" w:color="000000"/>
              <w:bottom w:val="single" w:sz="32" w:space="0" w:color="000000"/>
              <w:right w:val="single" w:sz="32" w:space="0" w:color="000000"/>
            </w:tcBorders>
            <w:shd w:val="clear" w:color="auto" w:fill="EEFFEB"/>
            <w:tcMar>
              <w:top w:w="100" w:type="dxa"/>
              <w:left w:w="100" w:type="dxa"/>
              <w:bottom w:w="100" w:type="dxa"/>
              <w:right w:w="100" w:type="dxa"/>
            </w:tcMar>
          </w:tcPr>
          <w:p w14:paraId="42DBF81B" w14:textId="77777777" w:rsidR="00347696" w:rsidRPr="00CC4711" w:rsidRDefault="00347696" w:rsidP="00347696">
            <w:pPr>
              <w:tabs>
                <w:tab w:val="left" w:pos="-31680"/>
                <w:tab w:val="left" w:pos="-31520"/>
                <w:tab w:val="left" w:pos="-30812"/>
                <w:tab w:val="left" w:pos="-30103"/>
                <w:tab w:val="left" w:pos="-29394"/>
                <w:tab w:val="left" w:pos="-28686"/>
                <w:tab w:val="left" w:pos="-27977"/>
                <w:tab w:val="left" w:pos="-27268"/>
                <w:tab w:val="left" w:pos="-26560"/>
                <w:tab w:val="left" w:pos="-25851"/>
                <w:tab w:val="left" w:pos="-25142"/>
                <w:tab w:val="left" w:pos="-24434"/>
                <w:tab w:val="left" w:pos="-23725"/>
                <w:tab w:val="left" w:pos="-23016"/>
                <w:tab w:val="left" w:pos="-22308"/>
                <w:tab w:val="left" w:pos="-21599"/>
                <w:tab w:val="left" w:pos="-20890"/>
                <w:tab w:val="left" w:pos="-20182"/>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 w:val="left" w:pos="9213"/>
                <w:tab w:val="left" w:pos="9921"/>
                <w:tab w:val="left" w:pos="10630"/>
                <w:tab w:val="left" w:pos="11339"/>
                <w:tab w:val="left" w:pos="12047"/>
                <w:tab w:val="left" w:pos="12756"/>
                <w:tab w:val="left" w:pos="13465"/>
                <w:tab w:val="left" w:pos="14173"/>
                <w:tab w:val="left" w:pos="14882"/>
                <w:tab w:val="left" w:pos="15591"/>
                <w:tab w:val="left" w:pos="16299"/>
                <w:tab w:val="left" w:pos="17008"/>
                <w:tab w:val="left" w:pos="17717"/>
                <w:tab w:val="left" w:pos="18425"/>
                <w:tab w:val="left" w:pos="19134"/>
                <w:tab w:val="left" w:pos="19843"/>
                <w:tab w:val="left" w:pos="20551"/>
                <w:tab w:val="left" w:pos="21260"/>
                <w:tab w:val="left" w:pos="21969"/>
                <w:tab w:val="left" w:pos="22677"/>
                <w:tab w:val="left" w:pos="23386"/>
                <w:tab w:val="left" w:pos="24094"/>
                <w:tab w:val="left" w:pos="24803"/>
                <w:tab w:val="left" w:pos="25512"/>
                <w:tab w:val="left" w:pos="26220"/>
                <w:tab w:val="left" w:pos="26929"/>
                <w:tab w:val="left" w:pos="27638"/>
                <w:tab w:val="left" w:pos="28346"/>
                <w:tab w:val="left" w:pos="29055"/>
                <w:tab w:val="left" w:pos="29764"/>
                <w:tab w:val="left" w:pos="30472"/>
                <w:tab w:val="left" w:pos="31181"/>
                <w:tab w:val="left" w:pos="31680"/>
                <w:tab w:val="left" w:pos="31680"/>
              </w:tabs>
              <w:spacing w:before="200" w:after="80" w:line="240" w:lineRule="auto"/>
              <w:rPr>
                <w:rFonts w:ascii="Calibri" w:eastAsia="ヒラギノ角ゴ Pro W3" w:hAnsi="Calibri" w:cs="Calibri"/>
                <w:lang w:val="es-ES_tradnl"/>
              </w:rPr>
            </w:pPr>
            <w:r w:rsidRPr="00CC4711">
              <w:rPr>
                <w:rFonts w:ascii="Calibri" w:eastAsia="ヒラギノ角ゴ Pro W3" w:hAnsi="Calibri" w:cs="Calibri"/>
                <w:lang w:val="es-ES_tradnl"/>
              </w:rPr>
              <w:t>No se realizan.</w:t>
            </w:r>
          </w:p>
        </w:tc>
      </w:tr>
    </w:tbl>
    <w:p w14:paraId="611A03B2" w14:textId="77777777" w:rsidR="00CC761D" w:rsidRPr="00CC4711" w:rsidRDefault="00CC761D" w:rsidP="00CC761D">
      <w:pPr>
        <w:spacing w:before="60" w:after="60" w:line="240" w:lineRule="auto"/>
        <w:jc w:val="both"/>
        <w:rPr>
          <w:rFonts w:ascii="Calibri" w:eastAsia="Times New Roman" w:hAnsi="Calibri" w:cs="Calibri"/>
          <w:lang w:eastAsia="es-ES"/>
        </w:rPr>
      </w:pPr>
    </w:p>
    <w:p w14:paraId="44715E69" w14:textId="77777777" w:rsidR="00BF062D" w:rsidRPr="00CC4711" w:rsidRDefault="00BF062D" w:rsidP="00E435BC">
      <w:pPr>
        <w:spacing w:after="0" w:line="240" w:lineRule="auto"/>
        <w:ind w:left="1416" w:hanging="1416"/>
        <w:jc w:val="both"/>
        <w:rPr>
          <w:rFonts w:ascii="Calibri" w:eastAsia="Times New Roman" w:hAnsi="Calibri" w:cs="Calibri"/>
          <w:spacing w:val="6"/>
          <w:lang w:val="es-ES_tradnl" w:eastAsia="es-ES"/>
        </w:rPr>
      </w:pPr>
    </w:p>
    <w:p w14:paraId="4C669709" w14:textId="77777777" w:rsidR="00E435BC" w:rsidRDefault="00E435BC" w:rsidP="00D9085B">
      <w:pPr>
        <w:spacing w:after="0" w:line="240" w:lineRule="auto"/>
        <w:jc w:val="both"/>
        <w:rPr>
          <w:rFonts w:ascii="Calibri" w:eastAsia="Times New Roman" w:hAnsi="Calibri" w:cs="Calibri"/>
          <w:b/>
          <w:lang w:val="es-ES_tradnl" w:eastAsia="es-ES"/>
        </w:rPr>
      </w:pPr>
      <w:r w:rsidRPr="00CC4711">
        <w:rPr>
          <w:rFonts w:ascii="Calibri" w:eastAsia="Times New Roman" w:hAnsi="Calibri" w:cs="Calibri"/>
          <w:b/>
          <w:lang w:val="es-ES_tradnl" w:eastAsia="es-ES"/>
        </w:rPr>
        <w:t>I. JUSTIFICACIÓN DE LA REALIZACIÓN DE UNA MEMORIA ABREVIADA.</w:t>
      </w:r>
    </w:p>
    <w:p w14:paraId="1EC4B831" w14:textId="77777777" w:rsidR="008668EF" w:rsidRPr="00CC4711" w:rsidRDefault="008668EF" w:rsidP="00D9085B">
      <w:pPr>
        <w:spacing w:after="0" w:line="240" w:lineRule="auto"/>
        <w:jc w:val="both"/>
        <w:rPr>
          <w:rFonts w:ascii="Calibri" w:eastAsia="Times New Roman" w:hAnsi="Calibri" w:cs="Calibri"/>
          <w:b/>
          <w:lang w:val="es-ES_tradnl" w:eastAsia="es-ES"/>
        </w:rPr>
      </w:pPr>
    </w:p>
    <w:p w14:paraId="6183DDC2" w14:textId="4AC1B5EE" w:rsidR="00D2671A" w:rsidRDefault="008668EF" w:rsidP="00D2671A">
      <w:pPr>
        <w:spacing w:after="0" w:line="240" w:lineRule="auto"/>
        <w:jc w:val="both"/>
        <w:rPr>
          <w:rFonts w:ascii="Calibri" w:eastAsia="Times New Roman" w:hAnsi="Calibri" w:cs="Calibri"/>
          <w:lang w:eastAsia="es-ES"/>
        </w:rPr>
      </w:pPr>
      <w:r w:rsidRPr="008668EF">
        <w:rPr>
          <w:rFonts w:ascii="Calibri" w:eastAsia="Times New Roman" w:hAnsi="Calibri" w:cs="Calibri"/>
          <w:lang w:eastAsia="es-ES"/>
        </w:rPr>
        <w:t>Este real decreto tiene por objeto regular la concesión directa de subvenciones, con carácter excepcional, por razones de interés público y social, a la Fundación ‘</w:t>
      </w:r>
      <w:r w:rsidRPr="008668EF">
        <w:rPr>
          <w:rFonts w:ascii="Calibri" w:eastAsia="Times New Roman" w:hAnsi="Calibri" w:cs="Calibri"/>
          <w:i/>
          <w:iCs/>
          <w:lang w:eastAsia="es-ES"/>
        </w:rPr>
        <w:t>Partnership for Research and Innovation in the Mediterranean Area’</w:t>
      </w:r>
      <w:r w:rsidRPr="008668EF">
        <w:rPr>
          <w:rFonts w:ascii="Calibri" w:eastAsia="Times New Roman" w:hAnsi="Calibri" w:cs="Calibri"/>
          <w:lang w:eastAsia="es-ES"/>
        </w:rPr>
        <w:t xml:space="preserve"> (PRIMA), al Centro de Regulación Genómica (CRG)</w:t>
      </w:r>
      <w:r w:rsidR="007F15A9">
        <w:rPr>
          <w:rFonts w:ascii="Calibri" w:eastAsia="Times New Roman" w:hAnsi="Calibri" w:cs="Calibri"/>
          <w:lang w:eastAsia="es-ES"/>
        </w:rPr>
        <w:t>, a la Universidad de Zaragoza (UZ)</w:t>
      </w:r>
      <w:r w:rsidR="00497FDF">
        <w:rPr>
          <w:rFonts w:ascii="Calibri" w:eastAsia="Times New Roman" w:hAnsi="Calibri" w:cs="Calibri"/>
          <w:lang w:eastAsia="es-ES"/>
        </w:rPr>
        <w:t xml:space="preserve">, </w:t>
      </w:r>
      <w:r w:rsidR="004E0271">
        <w:rPr>
          <w:rFonts w:ascii="Calibri" w:eastAsia="Times New Roman" w:hAnsi="Calibri" w:cs="Calibri"/>
          <w:lang w:eastAsia="es-ES"/>
        </w:rPr>
        <w:t xml:space="preserve">al </w:t>
      </w:r>
      <w:r w:rsidR="004E0271">
        <w:rPr>
          <w:rFonts w:cstheme="minorHAnsi"/>
        </w:rPr>
        <w:t>Instituto de Física d’Altes Energies (IFAE)</w:t>
      </w:r>
      <w:r w:rsidR="00497FDF">
        <w:rPr>
          <w:rFonts w:cstheme="minorHAnsi"/>
        </w:rPr>
        <w:t xml:space="preserve"> y a la Confederación de Sociedades Científicas de España (COSCE)</w:t>
      </w:r>
      <w:r w:rsidR="004E0271">
        <w:rPr>
          <w:rFonts w:cstheme="minorHAnsi"/>
        </w:rPr>
        <w:t xml:space="preserve"> </w:t>
      </w:r>
      <w:r w:rsidRPr="008668EF">
        <w:rPr>
          <w:rFonts w:ascii="Calibri" w:eastAsia="Times New Roman" w:hAnsi="Calibri" w:cs="Calibri"/>
          <w:lang w:eastAsia="es-ES"/>
        </w:rPr>
        <w:t xml:space="preserve">para gastos de funcionamiento </w:t>
      </w:r>
      <w:r w:rsidR="00320DA2">
        <w:rPr>
          <w:rFonts w:ascii="Calibri" w:eastAsia="Times New Roman" w:hAnsi="Calibri" w:cs="Calibri"/>
          <w:lang w:eastAsia="es-ES"/>
        </w:rPr>
        <w:t xml:space="preserve">e inversión </w:t>
      </w:r>
      <w:r w:rsidRPr="008668EF">
        <w:rPr>
          <w:rFonts w:ascii="Calibri" w:eastAsia="Times New Roman" w:hAnsi="Calibri" w:cs="Calibri"/>
          <w:lang w:eastAsia="es-ES"/>
        </w:rPr>
        <w:t>necesarios para el desarrollo de las actividades que se describen en el presente real decreto.</w:t>
      </w:r>
    </w:p>
    <w:p w14:paraId="18B81C2C" w14:textId="77777777" w:rsidR="008668EF" w:rsidRDefault="008668EF" w:rsidP="00D2671A">
      <w:pPr>
        <w:spacing w:after="0" w:line="240" w:lineRule="auto"/>
        <w:jc w:val="both"/>
        <w:rPr>
          <w:rFonts w:ascii="Calibri" w:eastAsia="Times New Roman" w:hAnsi="Calibri" w:cs="Calibri"/>
          <w:lang w:eastAsia="es-ES"/>
        </w:rPr>
      </w:pPr>
    </w:p>
    <w:p w14:paraId="7151119F" w14:textId="1D601091" w:rsidR="00E435BC" w:rsidRDefault="00D2671A" w:rsidP="00D2671A">
      <w:pPr>
        <w:spacing w:after="0" w:line="240" w:lineRule="auto"/>
        <w:jc w:val="both"/>
        <w:rPr>
          <w:rFonts w:ascii="Calibri" w:eastAsia="Times New Roman" w:hAnsi="Calibri" w:cs="Calibri"/>
          <w:lang w:eastAsia="es-ES"/>
        </w:rPr>
      </w:pPr>
      <w:r>
        <w:rPr>
          <w:rFonts w:ascii="Calibri" w:eastAsia="Times New Roman" w:hAnsi="Calibri" w:cs="Calibri"/>
          <w:lang w:eastAsia="es-ES"/>
        </w:rPr>
        <w:t>L</w:t>
      </w:r>
      <w:r w:rsidR="0059475D">
        <w:rPr>
          <w:rFonts w:ascii="Calibri" w:eastAsia="Times New Roman" w:hAnsi="Calibri" w:cs="Calibri"/>
          <w:lang w:eastAsia="es-ES"/>
        </w:rPr>
        <w:t>a</w:t>
      </w:r>
      <w:r w:rsidR="00E435BC" w:rsidRPr="0059475D">
        <w:rPr>
          <w:rFonts w:ascii="Calibri" w:eastAsia="Times New Roman" w:hAnsi="Calibri" w:cs="Calibri"/>
          <w:lang w:eastAsia="es-ES"/>
        </w:rPr>
        <w:t xml:space="preserve"> </w:t>
      </w:r>
      <w:r w:rsidR="0059475D" w:rsidRPr="0059475D">
        <w:rPr>
          <w:rFonts w:ascii="Calibri" w:eastAsia="Times New Roman" w:hAnsi="Calibri" w:cs="Calibri"/>
          <w:lang w:eastAsia="es-ES"/>
        </w:rPr>
        <w:t>concesión directa de subvenciones</w:t>
      </w:r>
      <w:r w:rsidR="00E435BC" w:rsidRPr="0059475D">
        <w:rPr>
          <w:rFonts w:ascii="Calibri" w:eastAsia="Times New Roman" w:hAnsi="Calibri" w:cs="Calibri"/>
          <w:lang w:eastAsia="es-ES"/>
        </w:rPr>
        <w:t xml:space="preserve"> se </w:t>
      </w:r>
      <w:r>
        <w:rPr>
          <w:rFonts w:ascii="Calibri" w:eastAsia="Times New Roman" w:hAnsi="Calibri" w:cs="Calibri"/>
          <w:lang w:eastAsia="es-ES"/>
        </w:rPr>
        <w:t>realizará</w:t>
      </w:r>
      <w:r w:rsidR="00E435BC" w:rsidRPr="0059475D">
        <w:rPr>
          <w:rFonts w:ascii="Calibri" w:eastAsia="Times New Roman" w:hAnsi="Calibri" w:cs="Calibri"/>
          <w:lang w:eastAsia="es-ES"/>
        </w:rPr>
        <w:t xml:space="preserve"> con arreglo a lo dispuesto en los artículos 22.2.c) y 28 de la Ley 38/2003, de 17 de noviembre, General de Subvenciones, así como en el artículo 67 de su Reglamento, aprobado por Real Decreto 887/2006, de 21 de julio, que permiten, con carácter excepcional, conceder de forma directa subvenciones cuando se acrediten razones de interés público, social, económico o humanitario que dificulten su convocatoria pública.</w:t>
      </w:r>
    </w:p>
    <w:p w14:paraId="6E58E2E9" w14:textId="3449A5D9" w:rsidR="00EB7ACE" w:rsidRDefault="00EB7ACE" w:rsidP="00D2671A">
      <w:pPr>
        <w:spacing w:after="0" w:line="240" w:lineRule="auto"/>
        <w:jc w:val="both"/>
        <w:rPr>
          <w:rFonts w:ascii="Calibri" w:eastAsia="Times New Roman" w:hAnsi="Calibri" w:cs="Calibri"/>
          <w:lang w:eastAsia="es-ES"/>
        </w:rPr>
      </w:pPr>
    </w:p>
    <w:p w14:paraId="28637886" w14:textId="1FEE3E0A" w:rsidR="00AA2092" w:rsidRPr="00EB7ACE" w:rsidRDefault="00AA2092" w:rsidP="00D2671A">
      <w:pPr>
        <w:jc w:val="both"/>
      </w:pPr>
      <w:r w:rsidRPr="0059475D">
        <w:rPr>
          <w:rFonts w:ascii="Calibri" w:eastAsia="Times New Roman" w:hAnsi="Calibri" w:cs="Calibri"/>
          <w:lang w:eastAsia="es-ES"/>
        </w:rPr>
        <w:t>De acuerdo con lo previsto en el artículo 3 del Real Decreto 931/2017, de 3 de julio, por el que se regula la memoria del análisis de impacto normativo, se presenta en forma abreviada.</w:t>
      </w:r>
    </w:p>
    <w:p w14:paraId="0180AED4" w14:textId="4FFA3758" w:rsidR="00AA2092" w:rsidRPr="0059475D" w:rsidRDefault="00AA2092" w:rsidP="00D2671A">
      <w:pPr>
        <w:spacing w:after="0" w:line="240" w:lineRule="auto"/>
        <w:jc w:val="both"/>
        <w:rPr>
          <w:rFonts w:ascii="Calibri" w:eastAsia="Times New Roman" w:hAnsi="Calibri" w:cs="Calibri"/>
          <w:lang w:eastAsia="es-ES"/>
        </w:rPr>
      </w:pPr>
      <w:r w:rsidRPr="0059475D">
        <w:rPr>
          <w:rFonts w:ascii="Calibri" w:eastAsia="Times New Roman" w:hAnsi="Calibri" w:cs="Calibri"/>
          <w:lang w:eastAsia="es-ES"/>
        </w:rPr>
        <w:t>La opción por la memoria abreviada se justifica por tratarse de un proyecto de real decreto de la que no se derivan impactos apreciables en ninguno de los ámbitos enunciados en el artículo 3, apartado 1, del mencionado Real Decreto 931/2017, o estos no son significativos (adecuación al orden de competencias; impacto económico y presupuestario; cargas administrativas; impactos de género; impactos en la infancia y adolescencia y en la familia; impactos de carácter social y medioambiental; impactos en materia de igualdad de oportunidades, no discriminación y accesibilidad universal de las personas con discapacidad; y análisis sobre coste-beneficio).</w:t>
      </w:r>
    </w:p>
    <w:p w14:paraId="403FBB51" w14:textId="2DA1C89A" w:rsidR="00E435BC" w:rsidRPr="0059475D" w:rsidRDefault="00E435BC" w:rsidP="00D2671A">
      <w:pPr>
        <w:spacing w:after="0" w:line="240" w:lineRule="auto"/>
        <w:jc w:val="both"/>
        <w:rPr>
          <w:rFonts w:ascii="Calibri" w:eastAsia="Times New Roman" w:hAnsi="Calibri" w:cs="Calibri"/>
          <w:color w:val="808080" w:themeColor="background1" w:themeShade="80"/>
          <w:lang w:eastAsia="es-ES"/>
        </w:rPr>
      </w:pPr>
    </w:p>
    <w:p w14:paraId="6801DCFA" w14:textId="77777777" w:rsidR="00E435BC" w:rsidRPr="0059475D" w:rsidRDefault="00E435BC" w:rsidP="00D2671A">
      <w:pPr>
        <w:spacing w:after="0" w:line="240" w:lineRule="auto"/>
        <w:jc w:val="both"/>
        <w:rPr>
          <w:rFonts w:ascii="Calibri" w:eastAsia="Times New Roman" w:hAnsi="Calibri" w:cs="Calibri"/>
          <w:b/>
          <w:lang w:val="es-ES_tradnl" w:eastAsia="es-ES"/>
        </w:rPr>
      </w:pPr>
    </w:p>
    <w:p w14:paraId="2A8758C2" w14:textId="77777777" w:rsidR="00E435BC" w:rsidRPr="00AA2092" w:rsidRDefault="00E435BC" w:rsidP="00D2671A">
      <w:pPr>
        <w:spacing w:after="0" w:line="240" w:lineRule="auto"/>
        <w:jc w:val="both"/>
        <w:rPr>
          <w:rFonts w:ascii="Calibri" w:eastAsia="Times New Roman" w:hAnsi="Calibri" w:cs="Calibri"/>
          <w:b/>
          <w:lang w:val="es-ES_tradnl" w:eastAsia="es-ES"/>
        </w:rPr>
      </w:pPr>
      <w:r w:rsidRPr="00AA2092">
        <w:rPr>
          <w:rFonts w:ascii="Calibri" w:eastAsia="Times New Roman" w:hAnsi="Calibri" w:cs="Calibri"/>
          <w:b/>
          <w:lang w:val="es-ES_tradnl" w:eastAsia="es-ES"/>
        </w:rPr>
        <w:t>II. OPORTUNIDAD DEL PROYECTO DE REAL DECRETO.</w:t>
      </w:r>
    </w:p>
    <w:p w14:paraId="2A080F91" w14:textId="77777777" w:rsidR="00E435BC" w:rsidRPr="00AA2092" w:rsidRDefault="00E435BC" w:rsidP="00D2671A">
      <w:pPr>
        <w:spacing w:after="0" w:line="240" w:lineRule="auto"/>
        <w:jc w:val="both"/>
        <w:rPr>
          <w:rFonts w:ascii="Calibri" w:eastAsia="Times New Roman" w:hAnsi="Calibri" w:cs="Calibri"/>
          <w:b/>
          <w:color w:val="808080" w:themeColor="background1" w:themeShade="80"/>
          <w:lang w:val="es-ES_tradnl" w:eastAsia="es-ES"/>
        </w:rPr>
      </w:pPr>
    </w:p>
    <w:p w14:paraId="1249EEF1" w14:textId="2797776C" w:rsidR="00E435BC" w:rsidRPr="00AA2092" w:rsidRDefault="00E435BC" w:rsidP="00D2671A">
      <w:pPr>
        <w:spacing w:after="0" w:line="240" w:lineRule="auto"/>
        <w:jc w:val="both"/>
        <w:rPr>
          <w:rFonts w:ascii="Calibri" w:eastAsia="Times New Roman" w:hAnsi="Calibri" w:cs="Calibri"/>
          <w:lang w:eastAsia="es-ES"/>
        </w:rPr>
      </w:pPr>
      <w:r w:rsidRPr="00AA2092">
        <w:rPr>
          <w:rFonts w:ascii="Calibri" w:eastAsia="Times New Roman" w:hAnsi="Calibri" w:cs="Calibri"/>
          <w:b/>
          <w:lang w:val="es-ES_tradnl" w:eastAsia="es-ES"/>
        </w:rPr>
        <w:t>1. Motivación, objetivo y justificación de la</w:t>
      </w:r>
      <w:r w:rsidR="00300AA6">
        <w:rPr>
          <w:rFonts w:ascii="Calibri" w:eastAsia="Times New Roman" w:hAnsi="Calibri" w:cs="Calibri"/>
          <w:b/>
          <w:lang w:val="es-ES_tradnl" w:eastAsia="es-ES"/>
        </w:rPr>
        <w:t>s</w:t>
      </w:r>
      <w:r w:rsidRPr="00AA2092">
        <w:rPr>
          <w:rFonts w:ascii="Calibri" w:eastAsia="Times New Roman" w:hAnsi="Calibri" w:cs="Calibri"/>
          <w:b/>
          <w:lang w:val="es-ES_tradnl" w:eastAsia="es-ES"/>
        </w:rPr>
        <w:t xml:space="preserve"> </w:t>
      </w:r>
      <w:r w:rsidR="00300AA6" w:rsidRPr="00AA2092">
        <w:rPr>
          <w:rFonts w:ascii="Calibri" w:eastAsia="Times New Roman" w:hAnsi="Calibri" w:cs="Calibri"/>
          <w:b/>
          <w:lang w:val="es-ES_tradnl" w:eastAsia="es-ES"/>
        </w:rPr>
        <w:t>subvencion</w:t>
      </w:r>
      <w:r w:rsidR="00300AA6">
        <w:rPr>
          <w:rFonts w:ascii="Calibri" w:eastAsia="Times New Roman" w:hAnsi="Calibri" w:cs="Calibri"/>
          <w:b/>
          <w:lang w:val="es-ES_tradnl" w:eastAsia="es-ES"/>
        </w:rPr>
        <w:t>es</w:t>
      </w:r>
      <w:r w:rsidRPr="00AA2092">
        <w:rPr>
          <w:rFonts w:ascii="Calibri" w:eastAsia="Times New Roman" w:hAnsi="Calibri" w:cs="Calibri"/>
          <w:b/>
          <w:lang w:val="es-ES_tradnl" w:eastAsia="es-ES"/>
        </w:rPr>
        <w:t xml:space="preserve"> directa</w:t>
      </w:r>
      <w:r w:rsidR="00300AA6">
        <w:rPr>
          <w:rFonts w:ascii="Calibri" w:eastAsia="Times New Roman" w:hAnsi="Calibri" w:cs="Calibri"/>
          <w:b/>
          <w:lang w:val="es-ES_tradnl" w:eastAsia="es-ES"/>
        </w:rPr>
        <w:t>s</w:t>
      </w:r>
      <w:r w:rsidRPr="00AA2092">
        <w:rPr>
          <w:rFonts w:ascii="Calibri" w:eastAsia="Times New Roman" w:hAnsi="Calibri" w:cs="Calibri"/>
          <w:b/>
          <w:lang w:val="es-ES_tradnl" w:eastAsia="es-ES"/>
        </w:rPr>
        <w:t xml:space="preserve">. </w:t>
      </w:r>
    </w:p>
    <w:p w14:paraId="39604F0B" w14:textId="77777777" w:rsidR="00E435BC" w:rsidRPr="00AA2092" w:rsidRDefault="00E435BC" w:rsidP="00D2671A">
      <w:pPr>
        <w:spacing w:after="0" w:line="240" w:lineRule="auto"/>
        <w:jc w:val="both"/>
        <w:rPr>
          <w:rFonts w:ascii="Calibri" w:eastAsia="Times New Roman" w:hAnsi="Calibri" w:cs="Calibri"/>
          <w:color w:val="808080" w:themeColor="background1" w:themeShade="80"/>
          <w:lang w:val="es-ES_tradnl" w:eastAsia="es-ES"/>
        </w:rPr>
      </w:pPr>
    </w:p>
    <w:p w14:paraId="2773CD4A" w14:textId="544D5C9B" w:rsidR="0006287F" w:rsidRDefault="0006287F" w:rsidP="00D2671A">
      <w:pPr>
        <w:jc w:val="both"/>
        <w:rPr>
          <w:rFonts w:ascii="Calibri" w:eastAsia="Times New Roman" w:hAnsi="Calibri" w:cs="Calibri"/>
          <w:lang w:eastAsia="es-ES"/>
        </w:rPr>
      </w:pPr>
      <w:r>
        <w:rPr>
          <w:rFonts w:cstheme="minorHAnsi"/>
        </w:rPr>
        <w:t>El artículo 22.2.c) de la Ley 38/2003, de 17 de noviembre, General de Subvenciones, así como el artículo 67 de su Reglamento, aprobado por el Real Decreto 887/2006, de 21 de julio, establecen que podrán</w:t>
      </w:r>
      <w:r w:rsidR="00EB7ACE">
        <w:rPr>
          <w:rFonts w:cstheme="minorHAnsi"/>
        </w:rPr>
        <w:t xml:space="preserve"> concederse de forma directa y </w:t>
      </w:r>
      <w:r>
        <w:rPr>
          <w:rFonts w:cstheme="minorHAnsi"/>
        </w:rPr>
        <w:t>con carácter excepcional, aquellas otras subvenciones en que se acrediten razones de interés público, social, económico o humanitario</w:t>
      </w:r>
      <w:r w:rsidR="00887FF1">
        <w:rPr>
          <w:rFonts w:cstheme="minorHAnsi"/>
        </w:rPr>
        <w:t xml:space="preserve"> que </w:t>
      </w:r>
      <w:r w:rsidR="00887FF1" w:rsidRPr="00CC4711">
        <w:rPr>
          <w:rFonts w:ascii="Calibri" w:eastAsia="Times New Roman" w:hAnsi="Calibri" w:cs="Calibri"/>
          <w:lang w:eastAsia="es-ES"/>
        </w:rPr>
        <w:t>dificulten su convocatoria pública</w:t>
      </w:r>
      <w:r w:rsidR="00887FF1">
        <w:rPr>
          <w:rFonts w:ascii="Calibri" w:eastAsia="Times New Roman" w:hAnsi="Calibri" w:cs="Calibri"/>
          <w:lang w:eastAsia="es-ES"/>
        </w:rPr>
        <w:t>.</w:t>
      </w:r>
    </w:p>
    <w:p w14:paraId="640B6474" w14:textId="26E40B33" w:rsidR="00D2671A" w:rsidRPr="008668EF" w:rsidRDefault="00EB7ACE" w:rsidP="00D2671A">
      <w:pPr>
        <w:spacing w:after="0" w:line="240" w:lineRule="auto"/>
        <w:jc w:val="both"/>
        <w:rPr>
          <w:rFonts w:ascii="Calibri" w:eastAsia="Times New Roman" w:hAnsi="Calibri" w:cs="Calibri"/>
          <w:color w:val="000000" w:themeColor="text1"/>
          <w:lang w:eastAsia="es-ES"/>
        </w:rPr>
      </w:pPr>
      <w:r w:rsidRPr="008668EF">
        <w:rPr>
          <w:color w:val="000000" w:themeColor="text1"/>
        </w:rPr>
        <w:lastRenderedPageBreak/>
        <w:t xml:space="preserve">Las razones que acreditan el interés público, social y económico de la concesión de estas subvenciones son la necesidad de </w:t>
      </w:r>
      <w:r w:rsidR="00D2671A" w:rsidRPr="008668EF">
        <w:rPr>
          <w:rFonts w:ascii="Calibri" w:eastAsia="Times New Roman" w:hAnsi="Calibri" w:cs="Calibri"/>
          <w:color w:val="000000" w:themeColor="text1"/>
          <w:lang w:eastAsia="es-ES"/>
        </w:rPr>
        <w:t xml:space="preserve">desarrollo de actuaciones por </w:t>
      </w:r>
      <w:r w:rsidR="006C65AD">
        <w:rPr>
          <w:rFonts w:ascii="Calibri" w:eastAsia="Times New Roman" w:hAnsi="Calibri" w:cs="Calibri"/>
          <w:color w:val="000000" w:themeColor="text1"/>
          <w:lang w:eastAsia="es-ES"/>
        </w:rPr>
        <w:t>entidades</w:t>
      </w:r>
      <w:r w:rsidR="00FF3FDE" w:rsidRPr="008668EF">
        <w:rPr>
          <w:rFonts w:ascii="Calibri" w:eastAsia="Times New Roman" w:hAnsi="Calibri" w:cs="Calibri"/>
          <w:color w:val="000000" w:themeColor="text1"/>
          <w:lang w:eastAsia="es-ES"/>
        </w:rPr>
        <w:t>, que prestan servicios de interés general al sistema español de ciencia y tecnología</w:t>
      </w:r>
      <w:r w:rsidR="00D2671A" w:rsidRPr="008668EF">
        <w:rPr>
          <w:rFonts w:ascii="Calibri" w:eastAsia="Times New Roman" w:hAnsi="Calibri" w:cs="Calibri"/>
          <w:color w:val="000000" w:themeColor="text1"/>
          <w:lang w:eastAsia="es-ES"/>
        </w:rPr>
        <w:t xml:space="preserve"> y enlazan con objetivos estratégicos marcados por la Estrategia Española de Ciencia, Tecnología e Innovación (EECTI) 2021-2027.</w:t>
      </w:r>
    </w:p>
    <w:p w14:paraId="2F5B5AD4" w14:textId="77777777" w:rsidR="00515CA3" w:rsidRDefault="00515CA3" w:rsidP="00805DE4">
      <w:pPr>
        <w:autoSpaceDE w:val="0"/>
        <w:autoSpaceDN w:val="0"/>
        <w:adjustRightInd w:val="0"/>
        <w:spacing w:after="0" w:line="240" w:lineRule="auto"/>
        <w:jc w:val="both"/>
        <w:rPr>
          <w:rFonts w:cstheme="minorHAnsi"/>
          <w:color w:val="000000" w:themeColor="text1"/>
        </w:rPr>
      </w:pPr>
    </w:p>
    <w:p w14:paraId="511695D4" w14:textId="77777777" w:rsidR="00515CA3" w:rsidRPr="00280ECE" w:rsidRDefault="00515CA3" w:rsidP="00F6165A">
      <w:pPr>
        <w:spacing w:after="120"/>
        <w:jc w:val="both"/>
        <w:rPr>
          <w:rFonts w:ascii="Calibri" w:hAnsi="Calibri" w:cs="Calibri"/>
        </w:rPr>
      </w:pPr>
      <w:r w:rsidRPr="00280ECE">
        <w:rPr>
          <w:rFonts w:ascii="Calibri" w:eastAsia="Calibri" w:hAnsi="Calibri" w:cs="Calibri"/>
          <w:color w:val="000000"/>
        </w:rPr>
        <w:t xml:space="preserve">En </w:t>
      </w:r>
      <w:r w:rsidRPr="00E40535">
        <w:rPr>
          <w:rFonts w:ascii="Calibri" w:eastAsia="Calibri" w:hAnsi="Calibri" w:cs="Calibri"/>
          <w:color w:val="000000"/>
        </w:rPr>
        <w:t>primer lugar, la concesión de una ayuda a l</w:t>
      </w:r>
      <w:r w:rsidRPr="00E40535">
        <w:rPr>
          <w:rFonts w:ascii="Calibri" w:hAnsi="Calibri" w:cs="Calibri"/>
        </w:rPr>
        <w:t>a Fundación PRIMA, permite dar cumplimiento a la iniciativa europea “</w:t>
      </w:r>
      <w:r w:rsidRPr="00E40535">
        <w:rPr>
          <w:rFonts w:ascii="Calibri" w:hAnsi="Calibri" w:cs="Calibri"/>
          <w:i/>
          <w:iCs/>
        </w:rPr>
        <w:t>Partnership for Research and Innovation in the Mediterranean Area</w:t>
      </w:r>
      <w:r w:rsidRPr="00E40535">
        <w:rPr>
          <w:rFonts w:ascii="Calibri" w:hAnsi="Calibri" w:cs="Calibri"/>
        </w:rPr>
        <w:t>”, aprobada, en base al artículo 185 del Tratado de Funcionamiento de la Unión Europea, por Decisión (UE) 2017/1324 del Parlamento Europeo y el Consejo, de 4 de julio de 2017, que</w:t>
      </w:r>
      <w:r w:rsidRPr="00280ECE">
        <w:rPr>
          <w:rFonts w:ascii="Calibri" w:hAnsi="Calibri" w:cs="Calibri"/>
        </w:rPr>
        <w:t xml:space="preserve"> determina el  establecimiento de una estructura común de gestión, con personalidad jurídica propia, para la implementación de los programas de investigación conjunta. En su virtud, se constituye en España la Fundación PRIMA, el 19 de julio de 2017, como fundación privada sin ánimo de lucro, con sujeción a la Ley 50/2002, de 26 de diciembre, de Fundaciones, para el cumplimiento de los fines de interés general que se concretan en sus Estatutos</w:t>
      </w:r>
    </w:p>
    <w:p w14:paraId="6A7EC060" w14:textId="77777777" w:rsidR="00515CA3" w:rsidRPr="00280ECE" w:rsidRDefault="00515CA3" w:rsidP="00F6165A">
      <w:pPr>
        <w:spacing w:after="120"/>
        <w:jc w:val="both"/>
        <w:rPr>
          <w:rFonts w:ascii="Calibri" w:hAnsi="Calibri" w:cs="Calibri"/>
        </w:rPr>
      </w:pPr>
      <w:r w:rsidRPr="00280ECE">
        <w:rPr>
          <w:rFonts w:ascii="Calibri" w:hAnsi="Calibri" w:cs="Calibri"/>
        </w:rPr>
        <w:t xml:space="preserve">Su objetivo, prestando </w:t>
      </w:r>
      <w:bookmarkStart w:id="0" w:name="_Hlk169591820"/>
      <w:r w:rsidRPr="00280ECE">
        <w:rPr>
          <w:rFonts w:ascii="Calibri" w:hAnsi="Calibri" w:cs="Calibri"/>
        </w:rPr>
        <w:t xml:space="preserve">un servicio de interés general, es </w:t>
      </w:r>
      <w:r>
        <w:rPr>
          <w:rFonts w:ascii="Calibri" w:hAnsi="Calibri" w:cs="Calibri"/>
        </w:rPr>
        <w:t xml:space="preserve">gestionar ayudas de investigación que sirva al </w:t>
      </w:r>
      <w:r w:rsidRPr="00280ECE">
        <w:rPr>
          <w:rFonts w:ascii="Calibri" w:hAnsi="Calibri" w:cs="Calibri"/>
        </w:rPr>
        <w:t>desarroll</w:t>
      </w:r>
      <w:r>
        <w:rPr>
          <w:rFonts w:ascii="Calibri" w:hAnsi="Calibri" w:cs="Calibri"/>
        </w:rPr>
        <w:t>o de</w:t>
      </w:r>
      <w:r w:rsidRPr="00280ECE">
        <w:rPr>
          <w:rFonts w:ascii="Calibri" w:hAnsi="Calibri" w:cs="Calibri"/>
        </w:rPr>
        <w:t xml:space="preserve"> conocimiento y capacidades de investigación e innovación y </w:t>
      </w:r>
      <w:r>
        <w:rPr>
          <w:rFonts w:ascii="Calibri" w:hAnsi="Calibri" w:cs="Calibri"/>
        </w:rPr>
        <w:t xml:space="preserve">en última instancia para </w:t>
      </w:r>
      <w:r w:rsidRPr="00280ECE">
        <w:rPr>
          <w:rFonts w:ascii="Calibri" w:hAnsi="Calibri" w:cs="Calibri"/>
        </w:rPr>
        <w:t xml:space="preserve">aportar soluciones </w:t>
      </w:r>
      <w:bookmarkEnd w:id="0"/>
      <w:r w:rsidRPr="00280ECE">
        <w:rPr>
          <w:rFonts w:ascii="Calibri" w:hAnsi="Calibri" w:cs="Calibri"/>
        </w:rPr>
        <w:t xml:space="preserve">innovadoras en la región del Mediterráneo </w:t>
      </w:r>
      <w:r>
        <w:rPr>
          <w:rFonts w:ascii="Calibri" w:hAnsi="Calibri" w:cs="Calibri"/>
        </w:rPr>
        <w:t>en la mejora de</w:t>
      </w:r>
      <w:r w:rsidRPr="00280ECE">
        <w:rPr>
          <w:rFonts w:ascii="Calibri" w:hAnsi="Calibri" w:cs="Calibri"/>
        </w:rPr>
        <w:t xml:space="preserve"> la disponibilidad de agua, la agricultura sostenible y la producción de alimentos. Los 19 países que forman parte de esta iniciativa de programación conjunta ponen en común recursos financieros para actividades de investigación e innovación que son cofinanciados en un 50% por la Unión Europea. </w:t>
      </w:r>
    </w:p>
    <w:p w14:paraId="1BA72554" w14:textId="77777777" w:rsidR="00515CA3" w:rsidRPr="00280ECE" w:rsidRDefault="00515CA3" w:rsidP="00F6165A">
      <w:pPr>
        <w:spacing w:after="120"/>
        <w:jc w:val="both"/>
        <w:rPr>
          <w:rFonts w:ascii="Calibri" w:hAnsi="Calibri" w:cs="Calibri"/>
        </w:rPr>
      </w:pPr>
      <w:r w:rsidRPr="00280ECE">
        <w:rPr>
          <w:rFonts w:ascii="Calibri" w:hAnsi="Calibri" w:cs="Calibri"/>
        </w:rPr>
        <w:t>La ayuda regulada por este Real Decreto de apoyo al establecimiento y funcionamiento de la Fundación PRIMA en España no debe ser confundida con una ‘cuota de membresía’. La presente subvención se dirige a sufragar los costes administrativos de la Fundación y singularmente el alquiler del espacio en que establece su sede en España. Se trata, por tanto, de una aportación independiente a la que se dedica a la financiación de los proyectos de investigación PRIMA desde las agencias nacionales, que funcionan bajo la premisa de que el presupuesto que pone cada país es destinado a las entidades participantes de los respectivos países.</w:t>
      </w:r>
    </w:p>
    <w:p w14:paraId="764FC40E" w14:textId="77777777" w:rsidR="00515CA3" w:rsidRPr="00280ECE" w:rsidRDefault="00515CA3" w:rsidP="00F6165A">
      <w:pPr>
        <w:spacing w:after="120"/>
        <w:jc w:val="both"/>
        <w:rPr>
          <w:rFonts w:ascii="Calibri" w:hAnsi="Calibri" w:cs="Calibri"/>
        </w:rPr>
      </w:pPr>
      <w:r w:rsidRPr="00280ECE">
        <w:rPr>
          <w:rFonts w:ascii="Calibri" w:hAnsi="Calibri" w:cs="Calibri"/>
        </w:rPr>
        <w:t>Debido a la naturaleza singular de esta actuación, no puede financiarse a través de convocatorias en concurrencia competitiva. Su interés público, social y científico es relevante y derivado de los objetivos que acomete la Fundación PRIMA, que con la financiación de proyectos de I+D+I en gestión de recursos hídricos, agroalimentación y sistemas agrícolas, está contribuyendo a</w:t>
      </w:r>
      <w:r>
        <w:rPr>
          <w:rFonts w:ascii="Calibri" w:hAnsi="Calibri" w:cs="Calibri"/>
        </w:rPr>
        <w:t xml:space="preserve"> hacer posible la participación y contribución de la comunidad científica española en favor de</w:t>
      </w:r>
      <w:r w:rsidRPr="00280ECE">
        <w:rPr>
          <w:rFonts w:ascii="Calibri" w:hAnsi="Calibri" w:cs="Calibri"/>
        </w:rPr>
        <w:t xml:space="preserve"> una gestión sostenible de los recursos naturales, al crecimiento económico y a la estabilidad en un área geopolítica de interés estratégico para España, </w:t>
      </w:r>
      <w:r>
        <w:rPr>
          <w:rFonts w:ascii="Calibri" w:hAnsi="Calibri" w:cs="Calibri"/>
        </w:rPr>
        <w:t xml:space="preserve">además </w:t>
      </w:r>
      <w:r w:rsidRPr="00280ECE">
        <w:rPr>
          <w:rFonts w:ascii="Calibri" w:hAnsi="Calibri" w:cs="Calibri"/>
        </w:rPr>
        <w:t>gravemente afectada por el cambio climático, la urbanización y el crecimiento demográfico</w:t>
      </w:r>
      <w:r>
        <w:rPr>
          <w:rFonts w:ascii="Calibri" w:hAnsi="Calibri" w:cs="Calibri"/>
        </w:rPr>
        <w:t xml:space="preserve">. En este contexto se evidencia que PRIMA </w:t>
      </w:r>
      <w:r w:rsidRPr="00280ECE">
        <w:rPr>
          <w:rFonts w:ascii="Calibri" w:hAnsi="Calibri" w:cs="Calibri"/>
        </w:rPr>
        <w:t xml:space="preserve">es única en esta capacidad. </w:t>
      </w:r>
      <w:r w:rsidRPr="00280ECE">
        <w:rPr>
          <w:rFonts w:ascii="Calibri" w:hAnsi="Calibri" w:cs="Calibri"/>
          <w:color w:val="FF0000"/>
        </w:rPr>
        <w:t xml:space="preserve"> </w:t>
      </w:r>
    </w:p>
    <w:p w14:paraId="6D21444B" w14:textId="77777777" w:rsidR="00515CA3" w:rsidRPr="00E40535" w:rsidRDefault="00515CA3" w:rsidP="00F6165A">
      <w:pPr>
        <w:spacing w:after="120"/>
        <w:jc w:val="both"/>
        <w:rPr>
          <w:rFonts w:ascii="Calibri" w:hAnsi="Calibri" w:cs="Calibri"/>
        </w:rPr>
      </w:pPr>
      <w:r w:rsidRPr="00280ECE">
        <w:rPr>
          <w:rFonts w:ascii="Calibri" w:hAnsi="Calibri" w:cs="Calibri"/>
        </w:rPr>
        <w:t>Por otra parte, España participa del interés por dar continuidad de la iniciativa PRIMA como instrumento de cooperación en I+D+I entre la Unión Europea y los países de la cuenca Mediterránea y de la ampliación de su agenda a temas relevantes como salud o energía</w:t>
      </w:r>
      <w:r>
        <w:rPr>
          <w:rFonts w:ascii="Calibri" w:hAnsi="Calibri" w:cs="Calibri"/>
        </w:rPr>
        <w:t xml:space="preserve"> de lo que se </w:t>
      </w:r>
      <w:r w:rsidRPr="00E40535">
        <w:rPr>
          <w:rFonts w:ascii="Calibri" w:hAnsi="Calibri" w:cs="Calibri"/>
        </w:rPr>
        <w:t>deriva también el interés público de esta actuación.</w:t>
      </w:r>
    </w:p>
    <w:p w14:paraId="3CE35963" w14:textId="77777777" w:rsidR="00320DA2" w:rsidRDefault="00320DA2" w:rsidP="00320DA2">
      <w:pPr>
        <w:spacing w:after="120"/>
        <w:jc w:val="both"/>
        <w:rPr>
          <w:rFonts w:ascii="Calibri" w:eastAsia="Calibri" w:hAnsi="Calibri" w:cs="Calibri"/>
          <w:color w:val="000000"/>
        </w:rPr>
      </w:pPr>
      <w:bookmarkStart w:id="1" w:name="_Hlk164335408"/>
    </w:p>
    <w:p w14:paraId="3045F126" w14:textId="54C7BE06" w:rsidR="00515CA3" w:rsidRPr="00EB1F6D" w:rsidRDefault="00515CA3" w:rsidP="00F6165A">
      <w:pPr>
        <w:spacing w:after="120"/>
        <w:jc w:val="both"/>
        <w:rPr>
          <w:rFonts w:ascii="Calibri" w:hAnsi="Calibri" w:cs="Calibri"/>
        </w:rPr>
      </w:pPr>
      <w:r w:rsidRPr="00E40535">
        <w:rPr>
          <w:rFonts w:ascii="Calibri" w:eastAsia="Calibri" w:hAnsi="Calibri" w:cs="Calibri"/>
          <w:color w:val="000000"/>
        </w:rPr>
        <w:lastRenderedPageBreak/>
        <w:t xml:space="preserve">En segundo lugar, la </w:t>
      </w:r>
      <w:r w:rsidRPr="00E40535">
        <w:rPr>
          <w:rFonts w:ascii="Calibri" w:hAnsi="Calibri" w:cs="Calibri"/>
        </w:rPr>
        <w:t xml:space="preserve">concesión de una ayuda a la Fundación Centro de Regulación Genómica (CRG) para promover la colaboración entre el CRG y el Laboratorio Europeo de Biología Molecular (EMBL) así como proveer del apoyo administrativo, </w:t>
      </w:r>
      <w:r w:rsidR="007F15A9">
        <w:rPr>
          <w:rFonts w:ascii="Calibri" w:hAnsi="Calibri" w:cs="Calibri"/>
        </w:rPr>
        <w:t xml:space="preserve">logístico, </w:t>
      </w:r>
      <w:r w:rsidRPr="00E40535">
        <w:rPr>
          <w:rFonts w:ascii="Calibri" w:hAnsi="Calibri" w:cs="Calibri"/>
        </w:rPr>
        <w:t>científico y técnico necesario para el funcionamiento de la sede del EMBL en</w:t>
      </w:r>
      <w:r w:rsidRPr="00EB1F6D">
        <w:rPr>
          <w:rFonts w:ascii="Calibri" w:hAnsi="Calibri" w:cs="Calibri"/>
        </w:rPr>
        <w:t xml:space="preserve"> Barcelona. </w:t>
      </w:r>
      <w:r w:rsidR="007F15A9" w:rsidRPr="007F15A9">
        <w:rPr>
          <w:rFonts w:ascii="Calibri" w:hAnsi="Calibri" w:cs="Calibri"/>
        </w:rPr>
        <w:t xml:space="preserve">Las instalaciones de la sede de EMBL se encuentran integradas en los espacios del CRG dentro del </w:t>
      </w:r>
      <w:r w:rsidR="007F15A9" w:rsidRPr="007F15A9">
        <w:rPr>
          <w:rFonts w:ascii="Calibri" w:hAnsi="Calibri" w:cs="Calibri"/>
          <w:i/>
          <w:iCs/>
        </w:rPr>
        <w:t>Parc de Recerca Biomèdica de Barcelona</w:t>
      </w:r>
      <w:r w:rsidR="007F15A9" w:rsidRPr="007F15A9">
        <w:rPr>
          <w:rFonts w:ascii="Calibri" w:hAnsi="Calibri" w:cs="Calibri"/>
        </w:rPr>
        <w:t xml:space="preserve"> (PRBB) y por ello cuentan con espacios, plataformas y servicios científico-técnicos compartidos. El CRG es un instituto de investigación dedicado a desarrollar investigación básica en biomedicina, con especial énfasis en genómica y proteómica. Desde 2006 llevan a cabo una colaboración de carácter internacional entre el CRG y el EMBL, cuyos excelentes resultados dieron lugar al establecimiento de la sede del organismo internacional EMBL en Barcelona.</w:t>
      </w:r>
    </w:p>
    <w:p w14:paraId="48A8C488" w14:textId="77777777" w:rsidR="007F15A9" w:rsidRPr="007F15A9" w:rsidRDefault="007F15A9" w:rsidP="00F6165A">
      <w:pPr>
        <w:spacing w:after="120"/>
        <w:jc w:val="both"/>
        <w:rPr>
          <w:rFonts w:ascii="Calibri" w:hAnsi="Calibri" w:cs="Calibri"/>
        </w:rPr>
      </w:pPr>
      <w:r w:rsidRPr="007F15A9">
        <w:rPr>
          <w:rFonts w:ascii="Calibri" w:hAnsi="Calibri" w:cs="Calibri"/>
        </w:rPr>
        <w:t xml:space="preserve">España es miembro de pleno derecho del EMBL y es uno de los cinco países con sede en su territorio. Contar con EMBL </w:t>
      </w:r>
      <w:r w:rsidRPr="007F15A9">
        <w:rPr>
          <w:rFonts w:ascii="Calibri" w:hAnsi="Calibri" w:cs="Calibri"/>
          <w:i/>
          <w:iCs/>
        </w:rPr>
        <w:t>in situ</w:t>
      </w:r>
      <w:r w:rsidRPr="007F15A9">
        <w:rPr>
          <w:rFonts w:ascii="Calibri" w:hAnsi="Calibri" w:cs="Calibri"/>
        </w:rPr>
        <w:t xml:space="preserve"> tiene un gran impacto científico en el Sistema Español de Ciencia, Tecnología e Innovación por la visibilidad, la proyección internacional así como por las sinergias y colaboraciones que se establecen entre EMBL con el CRG y con otros centros de investigación españoles en el ámbito de la biomedicina y biología molecular convirtiéndose así en foco de generación de conocimiento y atracción de talento tanto junior (en formación) como senior (consolidado y reconocido a nivel mundial). Con el apoyo al CRG se reconoce la singularidad y el valor del proyecto concebido entre ambos, para la realización de actividades conjuntas de carácter científico interdisciplinar enmarcados en programas de investigación de bioinformática y genómica, biología celular y de sistemas y regulación génica entre otros. Entre los espacios, accesos y servicios compartidos destacan el Laboratorio de micro-Fabricación (µFabLab), instalación que permite la fabricación piezas pequeñas, prototipos y nuevas herramientas para apoyar experimentos biológicos complejos, y el </w:t>
      </w:r>
      <w:r w:rsidRPr="007F15A9">
        <w:rPr>
          <w:rFonts w:ascii="Calibri" w:hAnsi="Calibri" w:cs="Calibri"/>
          <w:i/>
          <w:iCs/>
        </w:rPr>
        <w:t>Collaboratorium</w:t>
      </w:r>
      <w:r w:rsidRPr="007F15A9">
        <w:rPr>
          <w:rFonts w:ascii="Calibri" w:hAnsi="Calibri" w:cs="Calibri"/>
        </w:rPr>
        <w:t>, un proyecto conjunto donde participan investigadores de ambas instituciones y abierto a toda la comunidad científica española, alrededor de la temática de la biología predictiva y computacional. Es un polo de atracción, en el que se reúnen científicos líderes a nivel mundial en el campo de la inteligencia artificial y la biocomputación, para discutir de temas relevantes para la salud humana como el modelado de pandemias para su estimación y control, cáncer etc.</w:t>
      </w:r>
    </w:p>
    <w:p w14:paraId="6BCA3F04" w14:textId="3F3DC95B" w:rsidR="00320DA2" w:rsidRPr="00EB1F6D" w:rsidRDefault="007F15A9" w:rsidP="00DD59F0">
      <w:pPr>
        <w:spacing w:after="360"/>
        <w:jc w:val="both"/>
        <w:rPr>
          <w:rFonts w:ascii="Calibri" w:hAnsi="Calibri" w:cs="Calibri"/>
        </w:rPr>
      </w:pPr>
      <w:r w:rsidRPr="007F15A9">
        <w:rPr>
          <w:rFonts w:ascii="Calibri" w:hAnsi="Calibri" w:cs="Calibri"/>
        </w:rPr>
        <w:t xml:space="preserve">Barcelona es ya uno de los </w:t>
      </w:r>
      <w:r w:rsidRPr="007F15A9">
        <w:rPr>
          <w:rFonts w:ascii="Calibri" w:hAnsi="Calibri" w:cs="Calibri"/>
          <w:i/>
          <w:iCs/>
        </w:rPr>
        <w:t xml:space="preserve">hubs </w:t>
      </w:r>
      <w:r w:rsidRPr="007F15A9">
        <w:rPr>
          <w:rFonts w:ascii="Calibri" w:hAnsi="Calibri" w:cs="Calibri"/>
        </w:rPr>
        <w:t xml:space="preserve">con más actividad y peso en la investigación biomédica de Europa, y con esta actuación se genera un gran impacto en la generación de conocimiento y el desarrollo de capacidades de investigación e innovación en el conjunto de las instituciones de investigación biomédica, incluyendo institutos de investigación, universidades, centros hospitalarios, y empresas del sector. El interés público de esta actuación es notorio al sistema español de ciencia y tecnología. </w:t>
      </w:r>
    </w:p>
    <w:bookmarkEnd w:id="1"/>
    <w:p w14:paraId="437201E2" w14:textId="490E9E78" w:rsidR="007F15A9" w:rsidRPr="007F15A9" w:rsidRDefault="007F15A9" w:rsidP="00F6165A">
      <w:pPr>
        <w:spacing w:after="120"/>
        <w:jc w:val="both"/>
        <w:rPr>
          <w:rFonts w:ascii="Calibri" w:eastAsia="Calibri" w:hAnsi="Calibri" w:cs="Calibri"/>
          <w:color w:val="000000"/>
        </w:rPr>
      </w:pPr>
      <w:r w:rsidRPr="007F15A9">
        <w:rPr>
          <w:rFonts w:ascii="Calibri" w:eastAsia="Calibri" w:hAnsi="Calibri" w:cs="Calibri"/>
          <w:color w:val="000000"/>
        </w:rPr>
        <w:t xml:space="preserve">En tercer lugar, se concede una ayuda a la Universidad de Zaragoza en su calidad de entidad responsable del nodo español del </w:t>
      </w:r>
      <w:r w:rsidRPr="007F15A9">
        <w:rPr>
          <w:rFonts w:ascii="Calibri" w:eastAsia="Calibri" w:hAnsi="Calibri" w:cs="Calibri"/>
          <w:i/>
          <w:iCs/>
          <w:color w:val="000000"/>
        </w:rPr>
        <w:t>Centre Européen de Calcul Atomique et Moléculaire</w:t>
      </w:r>
      <w:r w:rsidRPr="007F15A9">
        <w:rPr>
          <w:rFonts w:ascii="Calibri" w:eastAsia="Calibri" w:hAnsi="Calibri" w:cs="Calibri"/>
          <w:color w:val="000000"/>
        </w:rPr>
        <w:t xml:space="preserve"> (CECAM), red internacional dedicada a la promoción de la investigación básica, la formación avanzada y la cooperación científica en el ámbito de la simulación computacional en física, química, biología y ciencia de materiales.</w:t>
      </w:r>
    </w:p>
    <w:p w14:paraId="480099D1" w14:textId="77777777" w:rsidR="007F15A9" w:rsidRPr="007F15A9" w:rsidRDefault="007F15A9" w:rsidP="00F6165A">
      <w:pPr>
        <w:spacing w:after="120"/>
        <w:jc w:val="both"/>
        <w:rPr>
          <w:rFonts w:ascii="Calibri" w:eastAsia="Calibri" w:hAnsi="Calibri" w:cs="Calibri"/>
          <w:color w:val="000000"/>
        </w:rPr>
      </w:pPr>
      <w:r w:rsidRPr="007F15A9">
        <w:rPr>
          <w:rFonts w:ascii="Calibri" w:eastAsia="Calibri" w:hAnsi="Calibri" w:cs="Calibri"/>
          <w:color w:val="000000"/>
        </w:rPr>
        <w:t>El nodo español del CECAM, denominado ZCAM (</w:t>
      </w:r>
      <w:r w:rsidRPr="007F15A9">
        <w:rPr>
          <w:rFonts w:ascii="Calibri" w:eastAsia="Calibri" w:hAnsi="Calibri" w:cs="Calibri"/>
          <w:i/>
          <w:iCs/>
          <w:color w:val="000000"/>
        </w:rPr>
        <w:t>Zaragoza Scientific Center for Advanced Modelling</w:t>
      </w:r>
      <w:r w:rsidRPr="007F15A9">
        <w:rPr>
          <w:rFonts w:ascii="Calibri" w:eastAsia="Calibri" w:hAnsi="Calibri" w:cs="Calibri"/>
          <w:color w:val="000000"/>
        </w:rPr>
        <w:t xml:space="preserve">), está ubicado en la Universidad de Zaragoza y constituye una plataforma de referencia para la organización de escuelas internacionales, talleres científicos y otras actividades de alto impacto formativo, con una marcada proyección europea. A través de su </w:t>
      </w:r>
      <w:r w:rsidRPr="007F15A9">
        <w:rPr>
          <w:rFonts w:ascii="Calibri" w:eastAsia="Calibri" w:hAnsi="Calibri" w:cs="Calibri"/>
          <w:color w:val="000000"/>
        </w:rPr>
        <w:lastRenderedPageBreak/>
        <w:t>programación, el nodo ofrece a la comunidad científica española acceso a redes internacionales de excelencia, fomenta la colaboración interdisciplinar, y contribuye a la formación de jóvenes investigadores en métodos computacionales avanzados.</w:t>
      </w:r>
    </w:p>
    <w:p w14:paraId="2BB3F1F8" w14:textId="77777777" w:rsidR="007F15A9" w:rsidRPr="007F15A9" w:rsidRDefault="007F15A9" w:rsidP="00DD59F0">
      <w:pPr>
        <w:spacing w:after="360"/>
        <w:jc w:val="both"/>
        <w:rPr>
          <w:rFonts w:ascii="Calibri" w:eastAsia="Calibri" w:hAnsi="Calibri" w:cs="Calibri"/>
          <w:color w:val="000000"/>
        </w:rPr>
      </w:pPr>
      <w:r w:rsidRPr="007F15A9">
        <w:rPr>
          <w:rFonts w:ascii="Calibri" w:eastAsia="Calibri" w:hAnsi="Calibri" w:cs="Calibri"/>
          <w:color w:val="000000"/>
        </w:rPr>
        <w:t>Las actividades desarrolladas por el ZCAM promueven el uso intensivo de recursos de computación científica y contribuyen significativamente al posicionamiento de España en el ámbito de la simulación por ordenador y la ciencia basada en datos, áreas clave para el avance científico y tecnológico nacional. Esta subvención está destinada a financiar los gastos necesarios para el desarrollo de dichas actividades.</w:t>
      </w:r>
    </w:p>
    <w:p w14:paraId="361AA8F9" w14:textId="77777777" w:rsidR="00320DA2" w:rsidRDefault="00320DA2" w:rsidP="00320DA2">
      <w:pPr>
        <w:spacing w:after="120"/>
        <w:jc w:val="both"/>
        <w:rPr>
          <w:rFonts w:ascii="Calibri" w:eastAsia="Calibri" w:hAnsi="Calibri" w:cs="Calibri"/>
          <w:color w:val="000000"/>
        </w:rPr>
      </w:pPr>
      <w:r w:rsidRPr="00F6165A">
        <w:rPr>
          <w:rFonts w:ascii="Calibri" w:eastAsia="Calibri" w:hAnsi="Calibri" w:cs="Calibri"/>
          <w:color w:val="000000"/>
        </w:rPr>
        <w:t>En cuarto lugar, se concede una ayuda al Institut de Física d'Altes Energies (IFAE) para contribuir al desarrollo de actuaciones científico-técnicas vinculadas a la preparación de la construcción del Telescopio Einstein (ET), un futuro observatorio europeo de ondas gravitacionales de tercera generación, incluido desde 2021 en la hoja de ruta del Foro Estratégico Europeo sobre Infraestructuras de Investigación (ESFRI). El ET está llamado a convertirse en una de las grandes infraestructuras científicas del continente durante las próximas décadas, con un alto impacto en física fundamental, astrofísica y cosmología.</w:t>
      </w:r>
    </w:p>
    <w:p w14:paraId="62B5A60E" w14:textId="77777777" w:rsidR="00DD59F0" w:rsidRDefault="00320DA2" w:rsidP="00320DA2">
      <w:pPr>
        <w:spacing w:after="120"/>
        <w:jc w:val="both"/>
        <w:rPr>
          <w:rFonts w:ascii="Calibri" w:eastAsia="Calibri" w:hAnsi="Calibri" w:cs="Calibri"/>
          <w:color w:val="000000"/>
        </w:rPr>
      </w:pPr>
      <w:r>
        <w:rPr>
          <w:rFonts w:ascii="Calibri" w:eastAsia="Calibri" w:hAnsi="Calibri" w:cs="Calibri"/>
          <w:color w:val="000000"/>
        </w:rPr>
        <w:t>El IFAE es un Consorcio público formado por la Generalitat de Cataluña y la Universidad Autónoma de Barcelona. C</w:t>
      </w:r>
      <w:r w:rsidRPr="00F6165A">
        <w:rPr>
          <w:rFonts w:ascii="Calibri" w:eastAsia="Calibri" w:hAnsi="Calibri" w:cs="Calibri"/>
          <w:color w:val="000000"/>
        </w:rPr>
        <w:t xml:space="preserve">on sede en Barcelona, coordina el proyecto europeo </w:t>
      </w:r>
      <w:r w:rsidRPr="00DD59F0">
        <w:rPr>
          <w:rFonts w:ascii="Calibri" w:eastAsia="Calibri" w:hAnsi="Calibri" w:cs="Calibri"/>
          <w:i/>
          <w:iCs/>
          <w:color w:val="000000"/>
        </w:rPr>
        <w:t>Einstein Telescope Preparatory Phase</w:t>
      </w:r>
      <w:r w:rsidRPr="00F6165A">
        <w:rPr>
          <w:rFonts w:ascii="Calibri" w:eastAsia="Calibri" w:hAnsi="Calibri" w:cs="Calibri"/>
          <w:color w:val="000000"/>
        </w:rPr>
        <w:t xml:space="preserve"> (ET-PP), financiado por el programa Horizonte Europa, y forma parte del directorado de la Einstein Telescope Organisation (ETO), entidad provisional de gobernanza del futuro observatorio. En este contexto, IFAE representa a España en diversos acuerdos suscritos con el CERN, INFN (Italia) y Nikhef (Países Bajos) para el desarrollo de estudios técnicos en ingeniería civil, vacío y diseño funcional de la futura infraestructura.</w:t>
      </w:r>
    </w:p>
    <w:p w14:paraId="37D1300D" w14:textId="002A9321" w:rsidR="00320DA2" w:rsidRPr="00F6165A" w:rsidRDefault="00320DA2" w:rsidP="00320DA2">
      <w:pPr>
        <w:spacing w:after="120"/>
        <w:jc w:val="both"/>
        <w:rPr>
          <w:rFonts w:ascii="Calibri" w:eastAsia="Calibri" w:hAnsi="Calibri" w:cs="Calibri"/>
          <w:color w:val="000000"/>
        </w:rPr>
      </w:pPr>
      <w:r w:rsidRPr="00F6165A">
        <w:rPr>
          <w:rFonts w:ascii="Calibri" w:eastAsia="Calibri" w:hAnsi="Calibri" w:cs="Calibri"/>
          <w:color w:val="000000"/>
        </w:rPr>
        <w:t>Esta subvención permitirá al IFAE cumplir con los compromisos asumidos en el marco de dichos acuerdos y reforzar su contribución a la elaboración del diseño técnico del ET, mediante la ejecución de estudios especializados, el desarrollo de herramientas avanzadas de planificación constructiva y la incorporación de personal técnico para tareas clave en el diseño funcional y en la preparación del observatorio.</w:t>
      </w:r>
      <w:r w:rsidR="00DD59F0">
        <w:rPr>
          <w:rFonts w:ascii="Calibri" w:eastAsia="Calibri" w:hAnsi="Calibri" w:cs="Calibri"/>
          <w:color w:val="000000"/>
        </w:rPr>
        <w:t xml:space="preserve"> </w:t>
      </w:r>
      <w:r w:rsidR="00DD59F0" w:rsidRPr="00DD59F0">
        <w:rPr>
          <w:rFonts w:ascii="Calibri" w:eastAsia="Calibri" w:hAnsi="Calibri" w:cs="Calibri"/>
          <w:color w:val="000000"/>
        </w:rPr>
        <w:t xml:space="preserve">Todas estas tareas forman parte del plan de trabajo aprobado por el </w:t>
      </w:r>
      <w:r w:rsidR="00DD59F0" w:rsidRPr="00DD59F0">
        <w:rPr>
          <w:rFonts w:ascii="Calibri" w:eastAsia="Calibri" w:hAnsi="Calibri" w:cs="Calibri"/>
          <w:i/>
          <w:iCs/>
          <w:color w:val="000000"/>
        </w:rPr>
        <w:t>Board of Governmental Representatives</w:t>
      </w:r>
      <w:r w:rsidR="00DD59F0" w:rsidRPr="00DD59F0">
        <w:rPr>
          <w:rFonts w:ascii="Calibri" w:eastAsia="Calibri" w:hAnsi="Calibri" w:cs="Calibri"/>
          <w:color w:val="000000"/>
        </w:rPr>
        <w:t xml:space="preserve"> (BGR) del proyecto ET, constituido por los representantes ministeriales de los países participantes, y son necesarias para garantizar la madurez del diseño, el desarrollo de la infraestructura asociada y la futura licitación de elementos críticos del observatorio.</w:t>
      </w:r>
    </w:p>
    <w:p w14:paraId="6F2D2329" w14:textId="1FE36F01" w:rsidR="00320DA2" w:rsidRPr="00F6165A" w:rsidRDefault="00320DA2" w:rsidP="00BB00D1">
      <w:pPr>
        <w:spacing w:after="360"/>
        <w:jc w:val="both"/>
        <w:rPr>
          <w:rFonts w:ascii="Calibri" w:eastAsia="Calibri" w:hAnsi="Calibri" w:cs="Calibri"/>
          <w:color w:val="000000"/>
        </w:rPr>
      </w:pPr>
      <w:r w:rsidRPr="00F6165A">
        <w:rPr>
          <w:rFonts w:ascii="Calibri" w:eastAsia="Calibri" w:hAnsi="Calibri" w:cs="Calibri"/>
          <w:color w:val="000000"/>
        </w:rPr>
        <w:t xml:space="preserve">La actuación responde al interés general de posicionar a España como socio estratégico en el desarrollo de esta infraestructura científica de referencia, asegurando su participación desde las primeras fases del diseño y la toma de decisiones. Asimismo, se enmarca en el compromiso bilateral suscrito entre España e Italia, que reconoce el interés compartido de ambos países en el impulso a grandes infraestructuras científicas europeas como el Telescopio Einstein e IFMIF-DONES. La contribución del IFAE a la ETO podría facilitar, además, una participación destacada de España en la definición de la futura sede administrativa del observatorio, con los beneficios asociados en términos de liderazgo científico, visibilidad internacional e impacto económico. </w:t>
      </w:r>
    </w:p>
    <w:p w14:paraId="2388C46E" w14:textId="4B3836BA" w:rsidR="0003099F" w:rsidRPr="00F6165A" w:rsidRDefault="0003099F" w:rsidP="0003099F">
      <w:pPr>
        <w:spacing w:after="120"/>
        <w:jc w:val="both"/>
        <w:rPr>
          <w:rFonts w:ascii="Calibri" w:eastAsia="Calibri" w:hAnsi="Calibri" w:cs="Calibri"/>
          <w:color w:val="000000"/>
        </w:rPr>
      </w:pPr>
      <w:r w:rsidRPr="00F6165A">
        <w:rPr>
          <w:rFonts w:ascii="Calibri" w:eastAsia="Calibri" w:hAnsi="Calibri" w:cs="Calibri"/>
          <w:color w:val="000000"/>
        </w:rPr>
        <w:t xml:space="preserve">En quinto lugar, se concede una ayuda al Institut de Física d'Altes Energies (IFAE) para facilitar la participación institucional de España en el Observatorio Gravitacional Europeo (EGO), infraestructura internacional de investigación con sede en Cascina (Italia), dedicada a la </w:t>
      </w:r>
      <w:r w:rsidRPr="00F6165A">
        <w:rPr>
          <w:rFonts w:ascii="Calibri" w:eastAsia="Calibri" w:hAnsi="Calibri" w:cs="Calibri"/>
          <w:color w:val="000000"/>
        </w:rPr>
        <w:lastRenderedPageBreak/>
        <w:t>operación del interferómetro Virgo y a la coordinación de la red europea de experimentos de detección de ondas gravitacionales. EGO es un consorcio de derecho privado constituido conforme al Código Civil italiano, fundado en el año 2000 por el CNRS (Francia) y el INFN (Italia), y constituye un nodo esencial en la colaboración científica internacional en este campo, junto con LIGO (Estados Unidos), KAGRA (Japón) y GEO600 (Alemania).</w:t>
      </w:r>
    </w:p>
    <w:p w14:paraId="50E47426" w14:textId="77777777" w:rsidR="0003099F" w:rsidRPr="00F6165A" w:rsidRDefault="0003099F" w:rsidP="0003099F">
      <w:pPr>
        <w:spacing w:after="120"/>
        <w:jc w:val="both"/>
        <w:rPr>
          <w:rFonts w:ascii="Calibri" w:eastAsia="Calibri" w:hAnsi="Calibri" w:cs="Calibri"/>
          <w:color w:val="000000"/>
        </w:rPr>
      </w:pPr>
      <w:r w:rsidRPr="00F6165A">
        <w:rPr>
          <w:rFonts w:ascii="Calibri" w:eastAsia="Calibri" w:hAnsi="Calibri" w:cs="Calibri"/>
          <w:color w:val="000000"/>
        </w:rPr>
        <w:t>España ha contribuido durante años a los desarrollos científicos del experimento Virgo a través de diversos grupos de investigación nacionales, entre ellos el IFAE, el CIEMAT</w:t>
      </w:r>
      <w:r w:rsidRPr="00F6165A">
        <w:rPr>
          <w:rFonts w:ascii="Calibri" w:eastAsia="Calibri" w:hAnsi="Calibri" w:cs="Calibri"/>
          <w:color w:val="000000"/>
        </w:rPr>
        <w:footnoteReference w:id="4"/>
      </w:r>
      <w:r w:rsidRPr="00F6165A">
        <w:rPr>
          <w:rFonts w:ascii="Calibri" w:eastAsia="Calibri" w:hAnsi="Calibri" w:cs="Calibri"/>
          <w:color w:val="000000"/>
        </w:rPr>
        <w:t>, el ICCUB</w:t>
      </w:r>
      <w:r w:rsidRPr="00F6165A">
        <w:rPr>
          <w:rFonts w:ascii="Calibri" w:eastAsia="Calibri" w:hAnsi="Calibri" w:cs="Calibri"/>
          <w:color w:val="000000"/>
        </w:rPr>
        <w:footnoteReference w:id="5"/>
      </w:r>
      <w:r w:rsidRPr="00F6165A">
        <w:rPr>
          <w:rFonts w:ascii="Calibri" w:eastAsia="Calibri" w:hAnsi="Calibri" w:cs="Calibri"/>
          <w:color w:val="000000"/>
        </w:rPr>
        <w:t>, la Universidad de Valencia y el IFT</w:t>
      </w:r>
      <w:r w:rsidRPr="00F6165A">
        <w:rPr>
          <w:rFonts w:ascii="Calibri" w:eastAsia="Calibri" w:hAnsi="Calibri" w:cs="Calibri"/>
          <w:color w:val="000000"/>
        </w:rPr>
        <w:footnoteReference w:id="6"/>
      </w:r>
      <w:r w:rsidRPr="00F6165A">
        <w:rPr>
          <w:rFonts w:ascii="Calibri" w:eastAsia="Calibri" w:hAnsi="Calibri" w:cs="Calibri"/>
          <w:color w:val="000000"/>
        </w:rPr>
        <w:t>, aunque sin formar parte aún del consorcio como miembro institucional. Esta subvención permite dar un paso decisivo hacia la futura adhesión de España a EGO, reforzando su presencia técnica en el observatorio mediante la financiación de costes operativos asociados a las actividades del experimento Virgo —incluidos el mantenimiento de sistemas científicos, la infraestructura informática, y el apoyo técnico y de coordinación—, al tiempo que se facilita una futura integración en los órganos de gobernanza y en la toma de decisiones estratégicas.</w:t>
      </w:r>
    </w:p>
    <w:p w14:paraId="6748AB85" w14:textId="77777777" w:rsidR="0003099F" w:rsidRDefault="0003099F" w:rsidP="00BB00D1">
      <w:pPr>
        <w:spacing w:after="360"/>
        <w:jc w:val="both"/>
        <w:rPr>
          <w:rFonts w:ascii="Calibri" w:eastAsia="Calibri" w:hAnsi="Calibri" w:cs="Calibri"/>
          <w:color w:val="000000"/>
        </w:rPr>
      </w:pPr>
      <w:r w:rsidRPr="00F6165A">
        <w:rPr>
          <w:rFonts w:ascii="Calibri" w:eastAsia="Calibri" w:hAnsi="Calibri" w:cs="Calibri"/>
          <w:color w:val="000000"/>
        </w:rPr>
        <w:t xml:space="preserve">La actuación se alinea con los objetivos prioritarios del sistema español de ciencia e innovación en materia de grandes infraestructuras internacionales, y responde al interés general de reforzar la posición española en la astrofísica de ondas gravitacionales. La integración institucional en EGO, canalizada a través del IFAE, es especialmente relevante en el contexto del Telescopio Einstein, ya que Virgo constituye su precursor científico y tecnológico. Participar plenamente en EGO permitirá a España contribuir y beneficiarse de los desarrollos organizativos, técnicos y experimentales que servirán de base para el diseño y construcción del futuro Telescopio Einstein, de gran interés estratégico para el sistema español de ciencia e innovación. </w:t>
      </w:r>
    </w:p>
    <w:p w14:paraId="7C2939D9" w14:textId="5173B7CB" w:rsidR="00497FDF" w:rsidRPr="00497FDF" w:rsidRDefault="00497FDF" w:rsidP="00497FDF">
      <w:pPr>
        <w:spacing w:after="360"/>
        <w:jc w:val="both"/>
        <w:rPr>
          <w:rFonts w:ascii="Calibri" w:eastAsia="Calibri" w:hAnsi="Calibri" w:cs="Calibri"/>
          <w:color w:val="000000"/>
        </w:rPr>
      </w:pPr>
      <w:r w:rsidRPr="00497FDF">
        <w:rPr>
          <w:rFonts w:ascii="Calibri" w:eastAsia="Calibri" w:hAnsi="Calibri" w:cs="Calibri"/>
          <w:color w:val="000000"/>
        </w:rPr>
        <w:t xml:space="preserve">En </w:t>
      </w:r>
      <w:r>
        <w:rPr>
          <w:rFonts w:ascii="Calibri" w:eastAsia="Calibri" w:hAnsi="Calibri" w:cs="Calibri"/>
          <w:color w:val="000000"/>
        </w:rPr>
        <w:t>sexto</w:t>
      </w:r>
      <w:r w:rsidRPr="00497FDF">
        <w:rPr>
          <w:rFonts w:ascii="Calibri" w:eastAsia="Calibri" w:hAnsi="Calibri" w:cs="Calibri"/>
          <w:color w:val="000000"/>
        </w:rPr>
        <w:t xml:space="preserve"> y último lugar, se regula la concesión de una ayuda a la Confederación de Sociedades Científicas de España (COSCE) siendo ésta la principal asociación de ciencia en España. Dentro de esta misión, COSCE desarrolla bajo la forma de Acciones, Estudios y Proyectos, muy diversas iniciativas que representan un servicio de interés público relevante, ejemplos de ello serían sus iniciativas orientadas a facilitar la introducción de las ciencias en la didáctica escolar, reconocer la investigación de excelencia y promover su divulgación, o el proyecto de implantación en España del Acuerdo de Transparencia sobre el uso de animales en la experimentación científica.   COSCE lleva 20 años aportando iniciativas orientadas a facilitar la introducción de las ciencias en la didáctica escolar, reconocer la investigación de excelencia y promover su divulgación, asesorar a los representantes políticos sobre políticas científicas, promover la transferencia e innovación y organizar jornadas sobre temas de interés y trascendencia para la sociedad (p. e. a El Planeta, Inteligencia Artificial y Ciencia para un Mundo Sostenible en las tres últimas jornadas). Todo ello con el objetivo final de contribuir a elevar el nivel de cultura científica de nuestra sociedad.</w:t>
      </w:r>
    </w:p>
    <w:p w14:paraId="7EBA355C" w14:textId="77777777" w:rsidR="00497FDF" w:rsidRPr="00F6165A" w:rsidRDefault="00497FDF" w:rsidP="00BB00D1">
      <w:pPr>
        <w:spacing w:after="360"/>
        <w:jc w:val="both"/>
        <w:rPr>
          <w:rFonts w:ascii="Calibri" w:eastAsia="Calibri" w:hAnsi="Calibri" w:cs="Calibri"/>
          <w:color w:val="000000"/>
        </w:rPr>
      </w:pPr>
    </w:p>
    <w:p w14:paraId="4553C974" w14:textId="3EFE3800" w:rsidR="001C304F" w:rsidRDefault="006267BC" w:rsidP="00680DF3">
      <w:pPr>
        <w:spacing w:before="100" w:beforeAutospacing="1" w:after="100" w:afterAutospacing="1"/>
        <w:jc w:val="both"/>
        <w:rPr>
          <w:rFonts w:cstheme="minorHAnsi"/>
          <w:color w:val="000000" w:themeColor="text1"/>
        </w:rPr>
      </w:pPr>
      <w:r w:rsidRPr="008668EF">
        <w:rPr>
          <w:rFonts w:cstheme="minorHAnsi"/>
          <w:color w:val="000000" w:themeColor="text1"/>
        </w:rPr>
        <w:lastRenderedPageBreak/>
        <w:t xml:space="preserve">Así, </w:t>
      </w:r>
      <w:r w:rsidR="00525B8B" w:rsidRPr="008668EF">
        <w:rPr>
          <w:rFonts w:cstheme="minorHAnsi"/>
          <w:color w:val="000000" w:themeColor="text1"/>
        </w:rPr>
        <w:t xml:space="preserve">todas </w:t>
      </w:r>
      <w:r w:rsidRPr="008668EF">
        <w:rPr>
          <w:rFonts w:cstheme="minorHAnsi"/>
          <w:color w:val="000000" w:themeColor="text1"/>
        </w:rPr>
        <w:t>las entidades mencionadas contribuyen, de manera clara, a avanzar en el logro de los objetivos de la política ejercida por el Ministerio de Ciencia</w:t>
      </w:r>
      <w:r w:rsidR="00FF3FDE" w:rsidRPr="008668EF">
        <w:rPr>
          <w:rFonts w:cstheme="minorHAnsi"/>
          <w:color w:val="000000" w:themeColor="text1"/>
        </w:rPr>
        <w:t>, Innovación y Universidades</w:t>
      </w:r>
      <w:r w:rsidRPr="008668EF">
        <w:rPr>
          <w:rFonts w:cstheme="minorHAnsi"/>
          <w:color w:val="000000" w:themeColor="text1"/>
        </w:rPr>
        <w:t>, al que le corresponde la propuesta y ejecución de la política del Gobierno en materia de ciencia, desarrollo tecnológico e innovación en todos los sectores. Es por ello que el Ministerio apoya sus actividades, mediante instrumentos como las subvenciones, apoyando el adecuado funcionamiento de tales entidades, a fin de aunar esfuerzos para el logro de los objetivos de las políticas de investigación científica y técnica, el desarrollo y la innovación. Su concesión por medio de convocatoria pública no sería posible en ningún caso debido a que el objetivo es específicamente apoyar a estas instituciones, y no a otras</w:t>
      </w:r>
      <w:r w:rsidR="006B3464" w:rsidRPr="008668EF">
        <w:rPr>
          <w:rFonts w:cstheme="minorHAnsi"/>
          <w:color w:val="000000" w:themeColor="text1"/>
        </w:rPr>
        <w:t xml:space="preserve"> porque no hay otras</w:t>
      </w:r>
      <w:r w:rsidRPr="008668EF">
        <w:rPr>
          <w:rFonts w:cstheme="minorHAnsi"/>
          <w:color w:val="000000" w:themeColor="text1"/>
        </w:rPr>
        <w:t xml:space="preserve"> que puedan cumplir </w:t>
      </w:r>
      <w:r w:rsidR="006B3464" w:rsidRPr="008668EF">
        <w:rPr>
          <w:rFonts w:cstheme="minorHAnsi"/>
          <w:color w:val="000000" w:themeColor="text1"/>
        </w:rPr>
        <w:t>estas</w:t>
      </w:r>
      <w:r w:rsidRPr="008668EF">
        <w:rPr>
          <w:rFonts w:cstheme="minorHAnsi"/>
          <w:color w:val="000000" w:themeColor="text1"/>
        </w:rPr>
        <w:t xml:space="preserve"> finalidad</w:t>
      </w:r>
      <w:r w:rsidR="006B3464" w:rsidRPr="008668EF">
        <w:rPr>
          <w:rFonts w:cstheme="minorHAnsi"/>
          <w:color w:val="000000" w:themeColor="text1"/>
        </w:rPr>
        <w:t>es</w:t>
      </w:r>
      <w:r w:rsidR="0097651A">
        <w:rPr>
          <w:rFonts w:cstheme="minorHAnsi"/>
          <w:color w:val="000000" w:themeColor="text1"/>
        </w:rPr>
        <w:t xml:space="preserve">, por </w:t>
      </w:r>
      <w:r w:rsidR="007E1024">
        <w:rPr>
          <w:rFonts w:cstheme="minorHAnsi"/>
          <w:color w:val="000000" w:themeColor="text1"/>
        </w:rPr>
        <w:t xml:space="preserve">derivarse de colaboraciones internacionales con los que este Ministerio de Ciencia, </w:t>
      </w:r>
      <w:r w:rsidR="007E1024" w:rsidRPr="004E0271">
        <w:rPr>
          <w:rFonts w:cstheme="minorHAnsi"/>
          <w:color w:val="000000" w:themeColor="text1"/>
        </w:rPr>
        <w:t>Innovación y Universidades tiene asumidos compromisos de gasto</w:t>
      </w:r>
      <w:r w:rsidR="007E1024">
        <w:rPr>
          <w:rFonts w:cstheme="minorHAnsi"/>
          <w:color w:val="000000" w:themeColor="text1"/>
        </w:rPr>
        <w:t>. En t</w:t>
      </w:r>
      <w:r w:rsidR="00A22659">
        <w:rPr>
          <w:rFonts w:cstheme="minorHAnsi"/>
          <w:color w:val="000000" w:themeColor="text1"/>
        </w:rPr>
        <w:t>odos los casos</w:t>
      </w:r>
      <w:r w:rsidR="007E1024">
        <w:rPr>
          <w:rFonts w:cstheme="minorHAnsi"/>
          <w:color w:val="000000" w:themeColor="text1"/>
        </w:rPr>
        <w:t xml:space="preserve">, </w:t>
      </w:r>
      <w:r w:rsidR="00A22659">
        <w:rPr>
          <w:rFonts w:cstheme="minorHAnsi"/>
          <w:color w:val="000000" w:themeColor="text1"/>
        </w:rPr>
        <w:t>estas instituciones prestan servicios específicos al sistema de ciencia y tecnología que no presta ningún otro agente del sistema</w:t>
      </w:r>
      <w:r w:rsidR="001C304F">
        <w:rPr>
          <w:rFonts w:cstheme="minorHAnsi"/>
          <w:color w:val="000000" w:themeColor="text1"/>
        </w:rPr>
        <w:t>:</w:t>
      </w:r>
    </w:p>
    <w:p w14:paraId="64584F7D" w14:textId="72ECFEFF" w:rsidR="00DD0B4B" w:rsidRPr="004E0271" w:rsidRDefault="00BC7D4C" w:rsidP="00F6165A">
      <w:pPr>
        <w:pStyle w:val="Prrafodelista"/>
        <w:numPr>
          <w:ilvl w:val="0"/>
          <w:numId w:val="30"/>
        </w:numPr>
        <w:spacing w:after="120"/>
        <w:ind w:left="714" w:hanging="357"/>
        <w:contextualSpacing w:val="0"/>
        <w:jc w:val="both"/>
        <w:rPr>
          <w:rFonts w:cstheme="minorHAnsi"/>
          <w:color w:val="000000" w:themeColor="text1"/>
        </w:rPr>
      </w:pPr>
      <w:r>
        <w:rPr>
          <w:rFonts w:cstheme="minorHAnsi"/>
          <w:color w:val="000000" w:themeColor="text1"/>
        </w:rPr>
        <w:t>Es el caso de l</w:t>
      </w:r>
      <w:r w:rsidR="00DD0B4B" w:rsidRPr="004E0271">
        <w:rPr>
          <w:rFonts w:cstheme="minorHAnsi"/>
          <w:color w:val="000000" w:themeColor="text1"/>
        </w:rPr>
        <w:t>a Fundación PRIMA</w:t>
      </w:r>
      <w:r>
        <w:rPr>
          <w:rFonts w:cstheme="minorHAnsi"/>
          <w:color w:val="000000" w:themeColor="text1"/>
        </w:rPr>
        <w:t>,</w:t>
      </w:r>
      <w:r w:rsidR="00DD0B4B" w:rsidRPr="004E0271">
        <w:rPr>
          <w:rFonts w:cstheme="minorHAnsi"/>
          <w:color w:val="000000" w:themeColor="text1"/>
        </w:rPr>
        <w:t xml:space="preserve"> ninguna otra entidad </w:t>
      </w:r>
      <w:r>
        <w:rPr>
          <w:rFonts w:cstheme="minorHAnsi"/>
          <w:color w:val="000000" w:themeColor="text1"/>
        </w:rPr>
        <w:t xml:space="preserve">en España </w:t>
      </w:r>
      <w:r w:rsidR="00DD0B4B" w:rsidRPr="004E0271">
        <w:rPr>
          <w:rFonts w:cstheme="minorHAnsi"/>
          <w:color w:val="000000" w:themeColor="text1"/>
        </w:rPr>
        <w:t>tiene la sede y competencia para desarrollar la promoción de la investigación en el Mediterr</w:t>
      </w:r>
      <w:r>
        <w:rPr>
          <w:rFonts w:cstheme="minorHAnsi"/>
          <w:color w:val="000000" w:themeColor="text1"/>
        </w:rPr>
        <w:t>á</w:t>
      </w:r>
      <w:r w:rsidR="00DD0B4B" w:rsidRPr="004E0271">
        <w:rPr>
          <w:rFonts w:cstheme="minorHAnsi"/>
          <w:color w:val="000000" w:themeColor="text1"/>
        </w:rPr>
        <w:t xml:space="preserve">neo que tiene encomendada </w:t>
      </w:r>
      <w:r>
        <w:rPr>
          <w:rFonts w:cstheme="minorHAnsi"/>
          <w:color w:val="000000" w:themeColor="text1"/>
        </w:rPr>
        <w:t xml:space="preserve">esta Fundación </w:t>
      </w:r>
      <w:r w:rsidR="00DD0B4B" w:rsidRPr="004E0271">
        <w:rPr>
          <w:rFonts w:cstheme="minorHAnsi"/>
          <w:color w:val="000000" w:themeColor="text1"/>
        </w:rPr>
        <w:t>por Decisión UE 2017/1324 del Parlamento Europeo y del Consejo, de 4 de julio de 2017.</w:t>
      </w:r>
    </w:p>
    <w:p w14:paraId="73D5CC87" w14:textId="14CD261C" w:rsidR="00DD0B4B" w:rsidRDefault="00DD0B4B" w:rsidP="00F6165A">
      <w:pPr>
        <w:pStyle w:val="Prrafodelista"/>
        <w:numPr>
          <w:ilvl w:val="0"/>
          <w:numId w:val="30"/>
        </w:numPr>
        <w:spacing w:after="120"/>
        <w:ind w:left="714" w:hanging="357"/>
        <w:contextualSpacing w:val="0"/>
        <w:jc w:val="both"/>
        <w:rPr>
          <w:rFonts w:cstheme="minorHAnsi"/>
          <w:color w:val="000000" w:themeColor="text1"/>
        </w:rPr>
      </w:pPr>
      <w:r>
        <w:rPr>
          <w:rFonts w:cstheme="minorHAnsi"/>
          <w:color w:val="000000" w:themeColor="text1"/>
        </w:rPr>
        <w:t xml:space="preserve">La actuación relativa a la colaboración entre otro organismo internacional con sede en España EMBL y el Centro de Regulación Genómica, que tiene también el interés público descrito anteriormente, es </w:t>
      </w:r>
      <w:r w:rsidR="00BC7D4C">
        <w:rPr>
          <w:rFonts w:cstheme="minorHAnsi"/>
          <w:color w:val="000000" w:themeColor="text1"/>
        </w:rPr>
        <w:t>también derivada de una posición única de CRG con EMBL;</w:t>
      </w:r>
    </w:p>
    <w:p w14:paraId="060F6134" w14:textId="1E97EED0" w:rsidR="007F15A9" w:rsidRDefault="007F15A9" w:rsidP="00F6165A">
      <w:pPr>
        <w:pStyle w:val="Prrafodelista"/>
        <w:numPr>
          <w:ilvl w:val="0"/>
          <w:numId w:val="30"/>
        </w:numPr>
        <w:spacing w:after="120"/>
        <w:ind w:left="714" w:hanging="357"/>
        <w:contextualSpacing w:val="0"/>
        <w:jc w:val="both"/>
        <w:rPr>
          <w:rFonts w:cstheme="minorHAnsi"/>
          <w:color w:val="000000" w:themeColor="text1"/>
        </w:rPr>
      </w:pPr>
      <w:r>
        <w:rPr>
          <w:rFonts w:cstheme="minorHAnsi"/>
          <w:color w:val="000000" w:themeColor="text1"/>
        </w:rPr>
        <w:t>Respecto a</w:t>
      </w:r>
      <w:r w:rsidR="00F6165A">
        <w:rPr>
          <w:rFonts w:cstheme="minorHAnsi"/>
          <w:color w:val="000000" w:themeColor="text1"/>
        </w:rPr>
        <w:t xml:space="preserve"> la Universidad de Zaragoza, esta entidad actúa en España como entidad responsable de</w:t>
      </w:r>
      <w:r>
        <w:rPr>
          <w:rFonts w:cstheme="minorHAnsi"/>
          <w:color w:val="000000" w:themeColor="text1"/>
        </w:rPr>
        <w:t xml:space="preserve">l nodo </w:t>
      </w:r>
      <w:r w:rsidR="004F7A36">
        <w:rPr>
          <w:rFonts w:cstheme="minorHAnsi"/>
          <w:color w:val="000000" w:themeColor="text1"/>
        </w:rPr>
        <w:t xml:space="preserve">español </w:t>
      </w:r>
      <w:r w:rsidR="00F6165A">
        <w:rPr>
          <w:rFonts w:cstheme="minorHAnsi"/>
          <w:color w:val="000000" w:themeColor="text1"/>
        </w:rPr>
        <w:t xml:space="preserve">de </w:t>
      </w:r>
      <w:r>
        <w:rPr>
          <w:rFonts w:cstheme="minorHAnsi"/>
          <w:color w:val="000000" w:themeColor="text1"/>
        </w:rPr>
        <w:t>CECAM</w:t>
      </w:r>
      <w:r w:rsidR="00F6165A">
        <w:rPr>
          <w:rFonts w:cstheme="minorHAnsi"/>
          <w:color w:val="000000" w:themeColor="text1"/>
        </w:rPr>
        <w:t xml:space="preserve">, denominado ZCAM </w:t>
      </w:r>
      <w:r w:rsidR="00F6165A" w:rsidRPr="00F6165A">
        <w:rPr>
          <w:rFonts w:cstheme="minorHAnsi"/>
          <w:i/>
          <w:iCs/>
          <w:color w:val="000000" w:themeColor="text1"/>
        </w:rPr>
        <w:t>(Zaragoza Scientific Centre for Advanced Modelling)</w:t>
      </w:r>
      <w:r w:rsidR="00F6165A">
        <w:rPr>
          <w:rFonts w:cstheme="minorHAnsi"/>
          <w:color w:val="000000" w:themeColor="text1"/>
        </w:rPr>
        <w:t>. A nivel nacional, la Universidad de Zaragoza fomenta la colaboración entre los investigadores involucrados en sus actividades. A nivel internacional, se ocupa de la coordinación entre el nodo español y el resto de nodos de CECAM.</w:t>
      </w:r>
    </w:p>
    <w:p w14:paraId="7225E067" w14:textId="5C0A4E16" w:rsidR="00BB00D1" w:rsidRDefault="00BB00D1" w:rsidP="00F6165A">
      <w:pPr>
        <w:pStyle w:val="Prrafodelista"/>
        <w:numPr>
          <w:ilvl w:val="0"/>
          <w:numId w:val="30"/>
        </w:numPr>
        <w:spacing w:after="120"/>
        <w:ind w:left="714" w:hanging="357"/>
        <w:contextualSpacing w:val="0"/>
        <w:jc w:val="both"/>
        <w:rPr>
          <w:rFonts w:cstheme="minorHAnsi"/>
          <w:color w:val="000000" w:themeColor="text1"/>
        </w:rPr>
      </w:pPr>
      <w:r w:rsidRPr="00BB00D1">
        <w:rPr>
          <w:rFonts w:cstheme="minorHAnsi"/>
          <w:color w:val="000000" w:themeColor="text1"/>
        </w:rPr>
        <w:t xml:space="preserve">El Institut de Física d’Altes Energies (IFAE) es </w:t>
      </w:r>
      <w:r w:rsidR="00F20AAF">
        <w:rPr>
          <w:rFonts w:cstheme="minorHAnsi"/>
          <w:color w:val="000000" w:themeColor="text1"/>
        </w:rPr>
        <w:t xml:space="preserve">la entidad que coordina </w:t>
      </w:r>
      <w:r w:rsidR="006F17DC">
        <w:rPr>
          <w:rFonts w:cstheme="minorHAnsi"/>
          <w:color w:val="000000" w:themeColor="text1"/>
        </w:rPr>
        <w:t>el proyecto de fase</w:t>
      </w:r>
      <w:r w:rsidR="00F20AAF" w:rsidRPr="00BB00D1">
        <w:rPr>
          <w:rFonts w:cstheme="minorHAnsi"/>
          <w:color w:val="000000" w:themeColor="text1"/>
        </w:rPr>
        <w:t xml:space="preserve"> preparatoria del </w:t>
      </w:r>
      <w:r w:rsidR="006F17DC">
        <w:rPr>
          <w:rFonts w:cstheme="minorHAnsi"/>
          <w:color w:val="000000" w:themeColor="text1"/>
        </w:rPr>
        <w:t>Telescopio Einstein</w:t>
      </w:r>
      <w:r w:rsidR="00F20AAF" w:rsidRPr="00BB00D1">
        <w:rPr>
          <w:rFonts w:cstheme="minorHAnsi"/>
          <w:color w:val="000000" w:themeColor="text1"/>
        </w:rPr>
        <w:t xml:space="preserve"> (ET-PP)</w:t>
      </w:r>
      <w:r w:rsidR="006F17DC">
        <w:rPr>
          <w:rFonts w:cstheme="minorHAnsi"/>
          <w:color w:val="000000" w:themeColor="text1"/>
        </w:rPr>
        <w:t>,</w:t>
      </w:r>
      <w:r w:rsidRPr="00BB00D1">
        <w:rPr>
          <w:rFonts w:cstheme="minorHAnsi"/>
          <w:color w:val="000000" w:themeColor="text1"/>
        </w:rPr>
        <w:t xml:space="preserve"> financiad</w:t>
      </w:r>
      <w:r w:rsidR="006F17DC">
        <w:rPr>
          <w:rFonts w:cstheme="minorHAnsi"/>
          <w:color w:val="000000" w:themeColor="text1"/>
        </w:rPr>
        <w:t>o</w:t>
      </w:r>
      <w:r w:rsidRPr="00BB00D1">
        <w:rPr>
          <w:rFonts w:cstheme="minorHAnsi"/>
          <w:color w:val="000000" w:themeColor="text1"/>
        </w:rPr>
        <w:t xml:space="preserve"> por el programa Horizonte Europa. </w:t>
      </w:r>
      <w:r w:rsidR="006F17DC">
        <w:rPr>
          <w:rFonts w:cstheme="minorHAnsi"/>
          <w:color w:val="000000" w:themeColor="text1"/>
        </w:rPr>
        <w:t xml:space="preserve">Asimismo, es </w:t>
      </w:r>
      <w:r w:rsidR="006F17DC" w:rsidRPr="00BB00D1">
        <w:rPr>
          <w:rFonts w:cstheme="minorHAnsi"/>
          <w:color w:val="000000" w:themeColor="text1"/>
        </w:rPr>
        <w:t xml:space="preserve">el único centro español que participa directamente en la dirección científica y organizativa de la Einstein Telescope Organisation (ETO), </w:t>
      </w:r>
      <w:r w:rsidR="006F17DC">
        <w:rPr>
          <w:rFonts w:cstheme="minorHAnsi"/>
          <w:color w:val="000000" w:themeColor="text1"/>
        </w:rPr>
        <w:t>y representa</w:t>
      </w:r>
      <w:r w:rsidR="00793CC4">
        <w:rPr>
          <w:rFonts w:cstheme="minorHAnsi"/>
          <w:color w:val="000000" w:themeColor="text1"/>
        </w:rPr>
        <w:t xml:space="preserve"> a</w:t>
      </w:r>
      <w:r w:rsidR="006F17DC">
        <w:rPr>
          <w:rFonts w:cstheme="minorHAnsi"/>
          <w:color w:val="000000" w:themeColor="text1"/>
        </w:rPr>
        <w:t xml:space="preserve"> España</w:t>
      </w:r>
      <w:r w:rsidR="00793CC4">
        <w:rPr>
          <w:rFonts w:cstheme="minorHAnsi"/>
          <w:color w:val="000000" w:themeColor="text1"/>
        </w:rPr>
        <w:t xml:space="preserve"> en los</w:t>
      </w:r>
      <w:r w:rsidRPr="00BB00D1">
        <w:rPr>
          <w:rFonts w:cstheme="minorHAnsi"/>
          <w:color w:val="000000" w:themeColor="text1"/>
        </w:rPr>
        <w:t xml:space="preserve"> acuerdos de colaboración </w:t>
      </w:r>
      <w:r w:rsidR="00793CC4">
        <w:rPr>
          <w:rFonts w:cstheme="minorHAnsi"/>
          <w:color w:val="000000" w:themeColor="text1"/>
        </w:rPr>
        <w:t xml:space="preserve">suscritos </w:t>
      </w:r>
      <w:r w:rsidRPr="00BB00D1">
        <w:rPr>
          <w:rFonts w:cstheme="minorHAnsi"/>
          <w:color w:val="000000" w:themeColor="text1"/>
        </w:rPr>
        <w:t>con el CERN, INFN (Italia) y Nikhef (Países Bajos) para el desarrollo de estudios técnicos clave de la futura infraestructura. En este contexto, resulta la entidad idónea para canalizar la contribución nacional a los trabajos preparatorios para la construcción del ET.</w:t>
      </w:r>
    </w:p>
    <w:p w14:paraId="5CB9266D" w14:textId="50520198" w:rsidR="00BB00D1" w:rsidRDefault="005C05AE" w:rsidP="00F6165A">
      <w:pPr>
        <w:pStyle w:val="Prrafodelista"/>
        <w:numPr>
          <w:ilvl w:val="0"/>
          <w:numId w:val="30"/>
        </w:numPr>
        <w:spacing w:after="120"/>
        <w:ind w:left="714" w:hanging="357"/>
        <w:contextualSpacing w:val="0"/>
        <w:jc w:val="both"/>
        <w:rPr>
          <w:rFonts w:cstheme="minorHAnsi"/>
          <w:color w:val="000000" w:themeColor="text1"/>
        </w:rPr>
      </w:pPr>
      <w:r w:rsidRPr="005C05AE">
        <w:rPr>
          <w:rFonts w:cstheme="minorHAnsi"/>
          <w:color w:val="000000" w:themeColor="text1"/>
        </w:rPr>
        <w:t>El IFAE participa</w:t>
      </w:r>
      <w:r w:rsidR="0021141E">
        <w:rPr>
          <w:rFonts w:cstheme="minorHAnsi"/>
          <w:color w:val="000000" w:themeColor="text1"/>
        </w:rPr>
        <w:t>,</w:t>
      </w:r>
      <w:r w:rsidRPr="005C05AE">
        <w:rPr>
          <w:rFonts w:cstheme="minorHAnsi"/>
          <w:color w:val="000000" w:themeColor="text1"/>
        </w:rPr>
        <w:t xml:space="preserve"> desde hace años </w:t>
      </w:r>
      <w:r w:rsidR="0021141E">
        <w:rPr>
          <w:rFonts w:cstheme="minorHAnsi"/>
          <w:color w:val="000000" w:themeColor="text1"/>
        </w:rPr>
        <w:t xml:space="preserve">y </w:t>
      </w:r>
      <w:r w:rsidRPr="005C05AE">
        <w:rPr>
          <w:rFonts w:cstheme="minorHAnsi"/>
          <w:color w:val="000000" w:themeColor="text1"/>
        </w:rPr>
        <w:t xml:space="preserve">junto a otros centros españoles, </w:t>
      </w:r>
      <w:r w:rsidR="0021141E" w:rsidRPr="0021141E">
        <w:rPr>
          <w:rFonts w:cstheme="minorHAnsi"/>
          <w:color w:val="000000" w:themeColor="text1"/>
        </w:rPr>
        <w:t>en el experimento Virgo, operado por e</w:t>
      </w:r>
      <w:r w:rsidR="0021141E">
        <w:rPr>
          <w:rFonts w:cstheme="minorHAnsi"/>
          <w:color w:val="000000" w:themeColor="text1"/>
        </w:rPr>
        <w:t>l</w:t>
      </w:r>
      <w:r w:rsidR="0021141E" w:rsidRPr="0021141E">
        <w:rPr>
          <w:rFonts w:cstheme="minorHAnsi"/>
          <w:color w:val="000000" w:themeColor="text1"/>
        </w:rPr>
        <w:t xml:space="preserve"> </w:t>
      </w:r>
      <w:r w:rsidR="0021141E" w:rsidRPr="005C05AE">
        <w:rPr>
          <w:rFonts w:cstheme="minorHAnsi"/>
          <w:color w:val="000000" w:themeColor="text1"/>
        </w:rPr>
        <w:t>Observatorio Gravitacional Europeo (EGO)</w:t>
      </w:r>
      <w:r w:rsidR="0021141E">
        <w:rPr>
          <w:rFonts w:cstheme="minorHAnsi"/>
          <w:color w:val="000000" w:themeColor="text1"/>
        </w:rPr>
        <w:t xml:space="preserve">, </w:t>
      </w:r>
      <w:r w:rsidRPr="005C05AE">
        <w:rPr>
          <w:rFonts w:cstheme="minorHAnsi"/>
          <w:color w:val="000000" w:themeColor="text1"/>
        </w:rPr>
        <w:t xml:space="preserve">y mantiene una colaboración activa con </w:t>
      </w:r>
      <w:r w:rsidR="0021141E">
        <w:rPr>
          <w:rFonts w:cstheme="minorHAnsi"/>
          <w:color w:val="000000" w:themeColor="text1"/>
        </w:rPr>
        <w:t>esta infraestructura</w:t>
      </w:r>
      <w:r w:rsidRPr="005C05AE">
        <w:rPr>
          <w:rFonts w:cstheme="minorHAnsi"/>
          <w:color w:val="000000" w:themeColor="text1"/>
        </w:rPr>
        <w:t xml:space="preserve"> en tareas </w:t>
      </w:r>
      <w:r w:rsidR="0021141E">
        <w:rPr>
          <w:rFonts w:cstheme="minorHAnsi"/>
          <w:color w:val="000000" w:themeColor="text1"/>
        </w:rPr>
        <w:t>científicas, t</w:t>
      </w:r>
      <w:r w:rsidRPr="005C05AE">
        <w:rPr>
          <w:rFonts w:cstheme="minorHAnsi"/>
          <w:color w:val="000000" w:themeColor="text1"/>
        </w:rPr>
        <w:t>écnicas y de coordinación. Actualmente</w:t>
      </w:r>
      <w:r w:rsidR="0021141E">
        <w:rPr>
          <w:rFonts w:cstheme="minorHAnsi"/>
          <w:color w:val="000000" w:themeColor="text1"/>
        </w:rPr>
        <w:t>,</w:t>
      </w:r>
      <w:r w:rsidRPr="005C05AE">
        <w:rPr>
          <w:rFonts w:cstheme="minorHAnsi"/>
          <w:color w:val="000000" w:themeColor="text1"/>
        </w:rPr>
        <w:t xml:space="preserve"> lidera la representación técnica </w:t>
      </w:r>
      <w:r w:rsidR="00235A63">
        <w:rPr>
          <w:rFonts w:cstheme="minorHAnsi"/>
          <w:color w:val="000000" w:themeColor="text1"/>
        </w:rPr>
        <w:t>nacional</w:t>
      </w:r>
      <w:r w:rsidRPr="005C05AE">
        <w:rPr>
          <w:rFonts w:cstheme="minorHAnsi"/>
          <w:color w:val="000000" w:themeColor="text1"/>
        </w:rPr>
        <w:t xml:space="preserve"> en el proceso </w:t>
      </w:r>
      <w:r w:rsidR="0021141E">
        <w:rPr>
          <w:rFonts w:cstheme="minorHAnsi"/>
          <w:color w:val="000000" w:themeColor="text1"/>
        </w:rPr>
        <w:t>preparatorio hacia una futura adhesión institucional</w:t>
      </w:r>
      <w:r w:rsidRPr="005C05AE">
        <w:rPr>
          <w:rFonts w:cstheme="minorHAnsi"/>
          <w:color w:val="000000" w:themeColor="text1"/>
        </w:rPr>
        <w:t xml:space="preserve"> al consorcio, con el respaldo del Ministerio de Ciencia, Innovación y Universidades. </w:t>
      </w:r>
      <w:r w:rsidR="00235A63" w:rsidRPr="00235A63">
        <w:rPr>
          <w:rFonts w:cstheme="minorHAnsi"/>
          <w:color w:val="000000" w:themeColor="text1"/>
        </w:rPr>
        <w:t xml:space="preserve">Además, </w:t>
      </w:r>
      <w:r w:rsidR="00235A63">
        <w:rPr>
          <w:rFonts w:cstheme="minorHAnsi"/>
          <w:color w:val="000000" w:themeColor="text1"/>
        </w:rPr>
        <w:t>Virgo</w:t>
      </w:r>
      <w:r w:rsidR="00235A63" w:rsidRPr="00235A63">
        <w:rPr>
          <w:rFonts w:cstheme="minorHAnsi"/>
          <w:color w:val="000000" w:themeColor="text1"/>
        </w:rPr>
        <w:t xml:space="preserve"> constituye el precursor directo del </w:t>
      </w:r>
      <w:r w:rsidR="00235A63">
        <w:rPr>
          <w:rFonts w:cstheme="minorHAnsi"/>
          <w:color w:val="000000" w:themeColor="text1"/>
        </w:rPr>
        <w:t>ET</w:t>
      </w:r>
      <w:r w:rsidR="00235A63" w:rsidRPr="00235A63">
        <w:rPr>
          <w:rFonts w:cstheme="minorHAnsi"/>
          <w:color w:val="000000" w:themeColor="text1"/>
        </w:rPr>
        <w:t xml:space="preserve">, cuyo proyecto preparatorio está coordinado por el propio IFAE. Esta doble vinculación convierte al IFAE en la entidad más </w:t>
      </w:r>
      <w:r w:rsidR="00235A63" w:rsidRPr="00235A63">
        <w:rPr>
          <w:rFonts w:cstheme="minorHAnsi"/>
          <w:color w:val="000000" w:themeColor="text1"/>
        </w:rPr>
        <w:lastRenderedPageBreak/>
        <w:t>adecuada para canalizar la ayuda prevista, asegurando la coherencia entre ambas actuaciones.</w:t>
      </w:r>
    </w:p>
    <w:p w14:paraId="7BE79A77" w14:textId="3A33B5A2" w:rsidR="00497FDF" w:rsidRPr="00E573D0" w:rsidRDefault="00497FDF" w:rsidP="00E573D0">
      <w:pPr>
        <w:pStyle w:val="Prrafodelista"/>
        <w:numPr>
          <w:ilvl w:val="0"/>
          <w:numId w:val="30"/>
        </w:numPr>
        <w:spacing w:before="100" w:beforeAutospacing="1" w:after="100" w:afterAutospacing="1"/>
        <w:ind w:left="709"/>
        <w:jc w:val="both"/>
        <w:rPr>
          <w:rFonts w:cstheme="minorHAnsi"/>
          <w:color w:val="000000" w:themeColor="text1"/>
        </w:rPr>
      </w:pPr>
      <w:r w:rsidRPr="00E573D0">
        <w:t>Asimismo, la Confederación de Sociedades Científicas de España (COSCE) representa de forma singular a más de 40.000 científicos integrados en 87 sociedades científicas, actuando como interlocutor cualificado ante la sociedad y los poderes públicos, y desarrollando proyectos, acciones y estudios clave para la cultura científica y el fortalecimiento institucional del sistema español de ciencia, tecnología e innovación. Su representatividad y funciones no son asumibles por ninguna otra entidad del sistema.</w:t>
      </w:r>
    </w:p>
    <w:p w14:paraId="3D0566C0" w14:textId="52989B1A" w:rsidR="006267BC" w:rsidRPr="008668EF" w:rsidRDefault="001C304F" w:rsidP="00680DF3">
      <w:pPr>
        <w:spacing w:before="100" w:beforeAutospacing="1" w:after="100" w:afterAutospacing="1"/>
        <w:jc w:val="both"/>
        <w:rPr>
          <w:rFonts w:cstheme="minorHAnsi"/>
          <w:color w:val="000000" w:themeColor="text1"/>
        </w:rPr>
      </w:pPr>
      <w:r>
        <w:rPr>
          <w:rFonts w:cstheme="minorHAnsi"/>
          <w:color w:val="000000" w:themeColor="text1"/>
        </w:rPr>
        <w:t>E</w:t>
      </w:r>
      <w:r w:rsidR="006B3464" w:rsidRPr="008668EF">
        <w:rPr>
          <w:rFonts w:cstheme="minorHAnsi"/>
          <w:color w:val="000000" w:themeColor="text1"/>
        </w:rPr>
        <w:t>ste apoyo se justifica</w:t>
      </w:r>
      <w:r w:rsidR="006267BC" w:rsidRPr="008668EF">
        <w:rPr>
          <w:rFonts w:cstheme="minorHAnsi"/>
          <w:color w:val="000000" w:themeColor="text1"/>
        </w:rPr>
        <w:t xml:space="preserve"> por las razones de interés público, social y científico a que se ha hecho referencia. </w:t>
      </w:r>
      <w:r w:rsidR="002F326A">
        <w:rPr>
          <w:rFonts w:cstheme="minorHAnsi"/>
          <w:color w:val="000000" w:themeColor="text1"/>
        </w:rPr>
        <w:t>Se trata</w:t>
      </w:r>
      <w:r w:rsidR="00283D9F">
        <w:rPr>
          <w:rFonts w:cstheme="minorHAnsi"/>
          <w:color w:val="000000" w:themeColor="text1"/>
        </w:rPr>
        <w:t>,</w:t>
      </w:r>
      <w:r w:rsidR="002F326A">
        <w:rPr>
          <w:rFonts w:cstheme="minorHAnsi"/>
          <w:color w:val="000000" w:themeColor="text1"/>
        </w:rPr>
        <w:t xml:space="preserve"> en particular</w:t>
      </w:r>
      <w:r w:rsidR="00283D9F">
        <w:rPr>
          <w:rFonts w:cstheme="minorHAnsi"/>
          <w:color w:val="000000" w:themeColor="text1"/>
        </w:rPr>
        <w:t>,</w:t>
      </w:r>
      <w:r w:rsidR="002F326A">
        <w:rPr>
          <w:rFonts w:cstheme="minorHAnsi"/>
          <w:color w:val="000000" w:themeColor="text1"/>
        </w:rPr>
        <w:t xml:space="preserve"> de s</w:t>
      </w:r>
      <w:r w:rsidR="00A22659">
        <w:rPr>
          <w:rFonts w:cstheme="minorHAnsi"/>
          <w:color w:val="000000" w:themeColor="text1"/>
        </w:rPr>
        <w:t xml:space="preserve">ervicios </w:t>
      </w:r>
      <w:r w:rsidR="002F326A">
        <w:rPr>
          <w:rFonts w:cstheme="minorHAnsi"/>
          <w:color w:val="000000" w:themeColor="text1"/>
        </w:rPr>
        <w:t>e infraestructura de apoyo al sistema para la cooperación científica y tecnológica en el Mediterráneo; servicios en infraestructuras y formación para la investigación biomédica</w:t>
      </w:r>
      <w:r w:rsidR="00AD707D">
        <w:rPr>
          <w:rFonts w:cstheme="minorHAnsi"/>
          <w:color w:val="000000" w:themeColor="text1"/>
        </w:rPr>
        <w:t xml:space="preserve">; desarrollo </w:t>
      </w:r>
      <w:r w:rsidR="00283D9F">
        <w:rPr>
          <w:rFonts w:cstheme="minorHAnsi"/>
          <w:color w:val="000000" w:themeColor="text1"/>
        </w:rPr>
        <w:t xml:space="preserve">y uso avanzado </w:t>
      </w:r>
      <w:r w:rsidR="00AD707D">
        <w:rPr>
          <w:rFonts w:cstheme="minorHAnsi"/>
          <w:color w:val="000000" w:themeColor="text1"/>
        </w:rPr>
        <w:t xml:space="preserve">de </w:t>
      </w:r>
      <w:r w:rsidR="00AD707D" w:rsidRPr="00F6165A">
        <w:rPr>
          <w:rFonts w:cstheme="minorHAnsi"/>
          <w:color w:val="000000" w:themeColor="text1"/>
        </w:rPr>
        <w:t xml:space="preserve">ciencias computacionales </w:t>
      </w:r>
      <w:r w:rsidR="00283D9F">
        <w:rPr>
          <w:rFonts w:cstheme="minorHAnsi"/>
          <w:color w:val="000000" w:themeColor="text1"/>
        </w:rPr>
        <w:t>en física, química y ciencia de materiales</w:t>
      </w:r>
      <w:r w:rsidR="00637FC9">
        <w:rPr>
          <w:rFonts w:cstheme="minorHAnsi"/>
          <w:color w:val="000000" w:themeColor="text1"/>
        </w:rPr>
        <w:t xml:space="preserve">; </w:t>
      </w:r>
      <w:r w:rsidR="00881C1C">
        <w:rPr>
          <w:rFonts w:cstheme="minorHAnsi"/>
          <w:color w:val="000000" w:themeColor="text1"/>
        </w:rPr>
        <w:t>actividades</w:t>
      </w:r>
      <w:r w:rsidR="00637FC9">
        <w:rPr>
          <w:rFonts w:cstheme="minorHAnsi"/>
          <w:color w:val="000000" w:themeColor="text1"/>
        </w:rPr>
        <w:t xml:space="preserve"> preparatori</w:t>
      </w:r>
      <w:r w:rsidR="00881C1C">
        <w:rPr>
          <w:rFonts w:cstheme="minorHAnsi"/>
          <w:color w:val="000000" w:themeColor="text1"/>
        </w:rPr>
        <w:t>a</w:t>
      </w:r>
      <w:r w:rsidR="00637FC9">
        <w:rPr>
          <w:rFonts w:cstheme="minorHAnsi"/>
          <w:color w:val="000000" w:themeColor="text1"/>
        </w:rPr>
        <w:t>s para la construcción del futuro Telescopio Einstein</w:t>
      </w:r>
      <w:r w:rsidR="00881C1C">
        <w:rPr>
          <w:rFonts w:cstheme="minorHAnsi"/>
          <w:color w:val="000000" w:themeColor="text1"/>
        </w:rPr>
        <w:t xml:space="preserve">, </w:t>
      </w:r>
      <w:r w:rsidR="00881C1C" w:rsidRPr="00881C1C">
        <w:rPr>
          <w:rFonts w:cstheme="minorHAnsi"/>
          <w:color w:val="000000" w:themeColor="text1"/>
        </w:rPr>
        <w:t xml:space="preserve">en el marco de los acuerdos internacionales suscritos por </w:t>
      </w:r>
      <w:r w:rsidR="00881C1C">
        <w:rPr>
          <w:rFonts w:cstheme="minorHAnsi"/>
          <w:color w:val="000000" w:themeColor="text1"/>
        </w:rPr>
        <w:t>IFAE en nombre de España</w:t>
      </w:r>
      <w:r w:rsidR="00637FC9">
        <w:rPr>
          <w:rFonts w:cstheme="minorHAnsi"/>
          <w:color w:val="000000" w:themeColor="text1"/>
        </w:rPr>
        <w:t>;</w:t>
      </w:r>
      <w:r w:rsidR="0043757E">
        <w:rPr>
          <w:rFonts w:cstheme="minorHAnsi"/>
          <w:color w:val="000000" w:themeColor="text1"/>
        </w:rPr>
        <w:t xml:space="preserve"> </w:t>
      </w:r>
      <w:r w:rsidR="002F326A">
        <w:rPr>
          <w:rFonts w:cstheme="minorHAnsi"/>
          <w:color w:val="000000" w:themeColor="text1"/>
        </w:rPr>
        <w:t>y</w:t>
      </w:r>
      <w:r w:rsidR="00637FC9">
        <w:rPr>
          <w:rFonts w:cstheme="minorHAnsi"/>
          <w:color w:val="000000" w:themeColor="text1"/>
        </w:rPr>
        <w:t xml:space="preserve"> participación técnica nacional en la</w:t>
      </w:r>
      <w:r w:rsidR="00881C1C">
        <w:rPr>
          <w:rFonts w:cstheme="minorHAnsi"/>
          <w:color w:val="000000" w:themeColor="text1"/>
        </w:rPr>
        <w:t xml:space="preserve">s actividades </w:t>
      </w:r>
      <w:r w:rsidR="00637FC9">
        <w:rPr>
          <w:rFonts w:cstheme="minorHAnsi"/>
          <w:color w:val="000000" w:themeColor="text1"/>
        </w:rPr>
        <w:t>d</w:t>
      </w:r>
      <w:r w:rsidR="00637FC9" w:rsidRPr="00637FC9">
        <w:rPr>
          <w:rFonts w:cstheme="minorHAnsi"/>
          <w:color w:val="000000" w:themeColor="text1"/>
        </w:rPr>
        <w:t>el Observatorio Gravitacional Europeo (EGO), que opera el experimento Virgo</w:t>
      </w:r>
      <w:r w:rsidR="00637FC9">
        <w:rPr>
          <w:rFonts w:cstheme="minorHAnsi"/>
          <w:color w:val="000000" w:themeColor="text1"/>
        </w:rPr>
        <w:t xml:space="preserve">, </w:t>
      </w:r>
      <w:r w:rsidR="00637FC9" w:rsidRPr="00637FC9">
        <w:rPr>
          <w:rFonts w:cstheme="minorHAnsi"/>
          <w:color w:val="000000" w:themeColor="text1"/>
        </w:rPr>
        <w:t>precursor directo del ET</w:t>
      </w:r>
      <w:r w:rsidR="00497FDF">
        <w:rPr>
          <w:rFonts w:cstheme="minorHAnsi"/>
          <w:color w:val="000000" w:themeColor="text1"/>
        </w:rPr>
        <w:t>;</w:t>
      </w:r>
      <w:r w:rsidR="00497FDF" w:rsidRPr="00497FDF">
        <w:rPr>
          <w:rFonts w:cstheme="minorHAnsi"/>
          <w:color w:val="000000" w:themeColor="text1"/>
        </w:rPr>
        <w:t xml:space="preserve"> </w:t>
      </w:r>
      <w:r w:rsidR="00497FDF" w:rsidRPr="00A607F9">
        <w:rPr>
          <w:rFonts w:cstheme="minorHAnsi"/>
          <w:color w:val="000000" w:themeColor="text1"/>
        </w:rPr>
        <w:t>así como actuaciones de representación, asesoramiento, divulgación y fomento de la cultura científica que lleva a cabo la Confederación de Sociedades Científicas de España (COSCE), entidad que aglutina a una parte sustancial de la comunidad científica española y que desarrolla iniciativas de valor estratégico para el fortalecimiento del sistema de ciencia y tecnología</w:t>
      </w:r>
      <w:r w:rsidR="00497FDF">
        <w:rPr>
          <w:rFonts w:cstheme="minorHAnsi"/>
          <w:color w:val="000000" w:themeColor="text1"/>
        </w:rPr>
        <w:t xml:space="preserve">. </w:t>
      </w:r>
      <w:r w:rsidR="006267BC" w:rsidRPr="008668EF">
        <w:rPr>
          <w:rFonts w:cstheme="minorHAnsi"/>
          <w:color w:val="000000" w:themeColor="text1"/>
        </w:rPr>
        <w:t>Por ello se recurre a este procedimiento de concesión directa de subvenciones</w:t>
      </w:r>
      <w:r w:rsidR="00637FC9">
        <w:rPr>
          <w:rFonts w:cstheme="minorHAnsi"/>
          <w:color w:val="000000" w:themeColor="text1"/>
        </w:rPr>
        <w:t>,</w:t>
      </w:r>
      <w:r w:rsidR="006267BC" w:rsidRPr="008668EF">
        <w:rPr>
          <w:rFonts w:cstheme="minorHAnsi"/>
          <w:color w:val="000000" w:themeColor="text1"/>
        </w:rPr>
        <w:t xml:space="preserve"> que es excepcional por razón del número muy limitado de supuestos al que se aplica.</w:t>
      </w:r>
    </w:p>
    <w:p w14:paraId="6E6C1C82" w14:textId="58C1FA2A" w:rsidR="00E435BC" w:rsidRPr="00AB2631" w:rsidRDefault="00356FA9" w:rsidP="00E435BC">
      <w:pPr>
        <w:spacing w:before="180" w:beforeAutospacing="1" w:after="0" w:afterAutospacing="1" w:line="240" w:lineRule="auto"/>
        <w:jc w:val="both"/>
        <w:rPr>
          <w:rFonts w:ascii="Calibri" w:eastAsia="Times New Roman" w:hAnsi="Calibri" w:cs="Calibri"/>
          <w:b/>
          <w:lang w:eastAsia="es-ES"/>
        </w:rPr>
      </w:pPr>
      <w:r>
        <w:rPr>
          <w:rFonts w:ascii="Calibri" w:eastAsia="Times New Roman" w:hAnsi="Calibri" w:cs="Calibri"/>
          <w:b/>
          <w:lang w:eastAsia="es-ES"/>
        </w:rPr>
        <w:t>2</w:t>
      </w:r>
      <w:r w:rsidR="00E435BC" w:rsidRPr="00AB2631">
        <w:rPr>
          <w:rFonts w:ascii="Calibri" w:eastAsia="Times New Roman" w:hAnsi="Calibri" w:cs="Calibri"/>
          <w:b/>
          <w:lang w:eastAsia="es-ES"/>
        </w:rPr>
        <w:t>. Principios de buena regulación.</w:t>
      </w:r>
    </w:p>
    <w:p w14:paraId="5E943109" w14:textId="5F3223D7" w:rsidR="00AB2631" w:rsidRPr="005727CA" w:rsidRDefault="00E435BC" w:rsidP="005727CA">
      <w:pPr>
        <w:spacing w:before="180" w:after="180" w:line="240" w:lineRule="auto"/>
        <w:jc w:val="both"/>
        <w:rPr>
          <w:rFonts w:ascii="Calibri" w:eastAsia="Times New Roman" w:hAnsi="Calibri" w:cs="Calibri"/>
          <w:lang w:eastAsia="es-ES"/>
        </w:rPr>
      </w:pPr>
      <w:r w:rsidRPr="00AB2631">
        <w:rPr>
          <w:rFonts w:ascii="Calibri" w:eastAsia="Times New Roman" w:hAnsi="Calibri" w:cs="Calibri"/>
          <w:lang w:eastAsia="es-ES"/>
        </w:rPr>
        <w:t>La norma se adecua a los principios de buena regulación previstos en el artículo 129 de la Ley 39/2015, de 1 de octubre, del Procedimiento Administrativo Común de las Administraciones Públicas, particularmente:</w:t>
      </w:r>
    </w:p>
    <w:p w14:paraId="2F275F3B" w14:textId="034BEA1E" w:rsidR="00E435BC" w:rsidRPr="00AB2631" w:rsidRDefault="00E435BC" w:rsidP="00726AF0">
      <w:pPr>
        <w:numPr>
          <w:ilvl w:val="0"/>
          <w:numId w:val="5"/>
        </w:numPr>
        <w:spacing w:before="180" w:after="180" w:line="240" w:lineRule="auto"/>
        <w:jc w:val="both"/>
        <w:rPr>
          <w:rFonts w:ascii="Calibri" w:eastAsia="Times New Roman" w:hAnsi="Calibri" w:cs="Calibri"/>
          <w:lang w:eastAsia="es-ES"/>
        </w:rPr>
      </w:pPr>
      <w:r w:rsidRPr="00AB2631">
        <w:rPr>
          <w:rFonts w:ascii="Calibri" w:eastAsia="Times New Roman" w:hAnsi="Calibri" w:cs="Calibri"/>
          <w:lang w:eastAsia="es-ES"/>
        </w:rPr>
        <w:t xml:space="preserve">A los de </w:t>
      </w:r>
      <w:r w:rsidRPr="00AB2631">
        <w:rPr>
          <w:rFonts w:ascii="Calibri" w:eastAsia="Times New Roman" w:hAnsi="Calibri" w:cs="Calibri"/>
          <w:b/>
          <w:lang w:eastAsia="es-ES"/>
        </w:rPr>
        <w:t>necesidad y eficacia</w:t>
      </w:r>
      <w:r w:rsidRPr="00AB2631">
        <w:rPr>
          <w:rFonts w:ascii="Calibri" w:eastAsia="Times New Roman" w:hAnsi="Calibri" w:cs="Calibri"/>
          <w:lang w:eastAsia="es-ES"/>
        </w:rPr>
        <w:t xml:space="preserve">, </w:t>
      </w:r>
      <w:r w:rsidR="000E3C23">
        <w:t>al estar justificada por razones de interés general, basarse en una identificación clara de los fines perseguidos y resultar el instrumento más adecuado para garantizar la consecución de sus objetivos</w:t>
      </w:r>
      <w:r w:rsidR="00AB2631">
        <w:rPr>
          <w:rFonts w:ascii="Calibri" w:eastAsia="Times New Roman" w:hAnsi="Calibri" w:cs="Calibri"/>
          <w:lang w:eastAsia="es-ES"/>
        </w:rPr>
        <w:t>.</w:t>
      </w:r>
    </w:p>
    <w:p w14:paraId="147D1FD2" w14:textId="490FC945" w:rsidR="00E435BC" w:rsidRPr="005727CA" w:rsidRDefault="00E435BC" w:rsidP="005727CA">
      <w:pPr>
        <w:numPr>
          <w:ilvl w:val="0"/>
          <w:numId w:val="5"/>
        </w:numPr>
        <w:spacing w:before="180" w:after="180" w:line="240" w:lineRule="auto"/>
        <w:jc w:val="both"/>
        <w:rPr>
          <w:rFonts w:ascii="Calibri" w:eastAsia="Times New Roman" w:hAnsi="Calibri" w:cs="Calibri"/>
          <w:lang w:eastAsia="es-ES"/>
        </w:rPr>
      </w:pPr>
      <w:r w:rsidRPr="00AB2631">
        <w:rPr>
          <w:rFonts w:ascii="Calibri" w:eastAsia="Times New Roman" w:hAnsi="Calibri" w:cs="Calibri"/>
          <w:lang w:eastAsia="es-ES"/>
        </w:rPr>
        <w:t xml:space="preserve">Al de </w:t>
      </w:r>
      <w:r w:rsidRPr="00AB2631">
        <w:rPr>
          <w:rFonts w:ascii="Calibri" w:eastAsia="Times New Roman" w:hAnsi="Calibri" w:cs="Calibri"/>
          <w:b/>
          <w:lang w:eastAsia="es-ES"/>
        </w:rPr>
        <w:t>proporcionalidad</w:t>
      </w:r>
      <w:r w:rsidR="000E3C23">
        <w:rPr>
          <w:rFonts w:ascii="Calibri" w:eastAsia="Times New Roman" w:hAnsi="Calibri" w:cs="Calibri"/>
          <w:lang w:eastAsia="es-ES"/>
        </w:rPr>
        <w:t>,</w:t>
      </w:r>
      <w:r w:rsidR="000E3C23">
        <w:t xml:space="preserve"> al contener la regulación imprescindible para atender las necesidades que pretende cubrir, una vez constatado que no existen otras medidas menos restrictivas de derechos o que impongan menos obligaciones a sus destinatarios</w:t>
      </w:r>
      <w:r w:rsidR="005727CA" w:rsidRPr="005727CA">
        <w:rPr>
          <w:rFonts w:ascii="Calibri" w:eastAsia="Times New Roman" w:hAnsi="Calibri" w:cs="Calibri"/>
          <w:lang w:eastAsia="es-ES"/>
        </w:rPr>
        <w:t>.</w:t>
      </w:r>
    </w:p>
    <w:p w14:paraId="1F3A7669" w14:textId="77777777" w:rsidR="00E435BC" w:rsidRPr="005727CA" w:rsidRDefault="00E435BC" w:rsidP="00E435BC">
      <w:pPr>
        <w:numPr>
          <w:ilvl w:val="0"/>
          <w:numId w:val="5"/>
        </w:numPr>
        <w:spacing w:before="180" w:after="180" w:line="240" w:lineRule="auto"/>
        <w:jc w:val="both"/>
        <w:rPr>
          <w:rFonts w:ascii="Calibri" w:eastAsia="Times New Roman" w:hAnsi="Calibri" w:cs="Calibri"/>
          <w:lang w:eastAsia="es-ES"/>
        </w:rPr>
      </w:pPr>
      <w:r w:rsidRPr="005727CA">
        <w:rPr>
          <w:rFonts w:ascii="Calibri" w:eastAsia="Times New Roman" w:hAnsi="Calibri" w:cs="Calibri"/>
          <w:lang w:eastAsia="es-ES"/>
        </w:rPr>
        <w:t xml:space="preserve">Al de </w:t>
      </w:r>
      <w:r w:rsidRPr="005727CA">
        <w:rPr>
          <w:rFonts w:ascii="Calibri" w:eastAsia="Times New Roman" w:hAnsi="Calibri" w:cs="Calibri"/>
          <w:b/>
          <w:lang w:eastAsia="es-ES"/>
        </w:rPr>
        <w:t>eficiencia</w:t>
      </w:r>
      <w:r w:rsidRPr="005727CA">
        <w:rPr>
          <w:rFonts w:ascii="Calibri" w:eastAsia="Times New Roman" w:hAnsi="Calibri" w:cs="Calibri"/>
          <w:lang w:eastAsia="es-ES"/>
        </w:rPr>
        <w:t>, ya que la iniciativa normativa evita cargas administrativas innecesarias o accesorias y racionaliza, en su aplicación, la gestión de los recursos públicos.</w:t>
      </w:r>
    </w:p>
    <w:p w14:paraId="20DD59B0" w14:textId="1E3F4E37" w:rsidR="00E435BC" w:rsidRPr="005727CA" w:rsidRDefault="00E435BC" w:rsidP="00E435BC">
      <w:pPr>
        <w:numPr>
          <w:ilvl w:val="0"/>
          <w:numId w:val="5"/>
        </w:numPr>
        <w:spacing w:before="180" w:after="180" w:line="240" w:lineRule="auto"/>
        <w:jc w:val="both"/>
        <w:rPr>
          <w:rFonts w:ascii="Calibri" w:eastAsia="Times New Roman" w:hAnsi="Calibri" w:cs="Calibri"/>
          <w:lang w:eastAsia="es-ES"/>
        </w:rPr>
      </w:pPr>
      <w:r w:rsidRPr="005727CA">
        <w:rPr>
          <w:rFonts w:ascii="Calibri" w:eastAsia="Times New Roman" w:hAnsi="Calibri" w:cs="Calibri"/>
          <w:lang w:eastAsia="es-ES"/>
        </w:rPr>
        <w:t xml:space="preserve">Al de </w:t>
      </w:r>
      <w:r w:rsidRPr="005727CA">
        <w:rPr>
          <w:rFonts w:ascii="Calibri" w:eastAsia="Times New Roman" w:hAnsi="Calibri" w:cs="Calibri"/>
          <w:b/>
          <w:lang w:eastAsia="es-ES"/>
        </w:rPr>
        <w:t>seguridad jurídica</w:t>
      </w:r>
      <w:r w:rsidRPr="005727CA">
        <w:rPr>
          <w:rFonts w:ascii="Calibri" w:eastAsia="Times New Roman" w:hAnsi="Calibri" w:cs="Calibri"/>
          <w:lang w:eastAsia="es-ES"/>
        </w:rPr>
        <w:t xml:space="preserve">, toda vez que la norma contempla las garantías necesarias para la adecuada ejecución de </w:t>
      </w:r>
      <w:r w:rsidR="005727CA" w:rsidRPr="005727CA">
        <w:rPr>
          <w:rFonts w:ascii="Calibri" w:eastAsia="Times New Roman" w:hAnsi="Calibri" w:cs="Calibri"/>
          <w:lang w:eastAsia="es-ES"/>
        </w:rPr>
        <w:t>las subvenciones</w:t>
      </w:r>
      <w:r w:rsidRPr="005727CA">
        <w:rPr>
          <w:rFonts w:ascii="Calibri" w:eastAsia="Times New Roman" w:hAnsi="Calibri" w:cs="Calibri"/>
          <w:lang w:eastAsia="es-ES"/>
        </w:rPr>
        <w:t xml:space="preserve"> en ella prevista</w:t>
      </w:r>
      <w:r w:rsidR="005727CA" w:rsidRPr="005727CA">
        <w:rPr>
          <w:rFonts w:ascii="Calibri" w:eastAsia="Times New Roman" w:hAnsi="Calibri" w:cs="Calibri"/>
          <w:lang w:eastAsia="es-ES"/>
        </w:rPr>
        <w:t>s</w:t>
      </w:r>
      <w:r w:rsidRPr="005727CA">
        <w:rPr>
          <w:rFonts w:ascii="Calibri" w:eastAsia="Times New Roman" w:hAnsi="Calibri" w:cs="Calibri"/>
          <w:lang w:eastAsia="es-ES"/>
        </w:rPr>
        <w:t xml:space="preserve">, de conformidad en todo caso con la Ley 38/2003, de 17 de noviembre, General de Subvenciones, así como con el Reglamento de la misma, aprobado mediante Real Decreto 887/2006, de 21 de julio. </w:t>
      </w:r>
    </w:p>
    <w:p w14:paraId="66C6699C" w14:textId="1F1D47E7" w:rsidR="00E435BC" w:rsidRPr="005727CA" w:rsidRDefault="00E435BC" w:rsidP="00E435BC">
      <w:pPr>
        <w:numPr>
          <w:ilvl w:val="0"/>
          <w:numId w:val="5"/>
        </w:numPr>
        <w:spacing w:before="180" w:after="180" w:line="240" w:lineRule="auto"/>
        <w:jc w:val="both"/>
        <w:rPr>
          <w:rFonts w:ascii="Calibri" w:eastAsia="Times New Roman" w:hAnsi="Calibri" w:cs="Calibri"/>
          <w:lang w:eastAsia="es-ES"/>
        </w:rPr>
      </w:pPr>
      <w:r w:rsidRPr="005727CA">
        <w:rPr>
          <w:rFonts w:ascii="Calibri" w:eastAsia="Times New Roman" w:hAnsi="Calibri" w:cs="Calibri"/>
          <w:lang w:eastAsia="es-ES"/>
        </w:rPr>
        <w:lastRenderedPageBreak/>
        <w:t xml:space="preserve">Al de </w:t>
      </w:r>
      <w:r w:rsidRPr="005727CA">
        <w:rPr>
          <w:rFonts w:ascii="Calibri" w:eastAsia="Times New Roman" w:hAnsi="Calibri" w:cs="Calibri"/>
          <w:b/>
          <w:lang w:eastAsia="es-ES"/>
        </w:rPr>
        <w:t>transparencia</w:t>
      </w:r>
      <w:r w:rsidR="005727CA" w:rsidRPr="005727CA">
        <w:rPr>
          <w:rFonts w:ascii="Calibri" w:eastAsia="Times New Roman" w:hAnsi="Calibri" w:cs="Calibri"/>
          <w:lang w:eastAsia="es-ES"/>
        </w:rPr>
        <w:t xml:space="preserve">, pues </w:t>
      </w:r>
      <w:r w:rsidRPr="005727CA">
        <w:rPr>
          <w:rFonts w:ascii="Calibri" w:eastAsia="Times New Roman" w:hAnsi="Calibri" w:cs="Calibri"/>
          <w:lang w:eastAsia="es-ES"/>
        </w:rPr>
        <w:t>el texto del proyecto de real decreto será objeto de publicación en el “Boletín Oficial del Estado” tras su aprobación en Consejo de Ministros, siendo una norma de general conocimiento y pudiendo ser objeto de los recursos que contra la misma procedan.</w:t>
      </w:r>
    </w:p>
    <w:p w14:paraId="602F6859" w14:textId="11D41E34" w:rsidR="00E435BC" w:rsidRPr="005727CA" w:rsidRDefault="00356FA9" w:rsidP="00E435BC">
      <w:pPr>
        <w:spacing w:after="0" w:line="240" w:lineRule="auto"/>
        <w:jc w:val="both"/>
        <w:rPr>
          <w:rFonts w:ascii="Calibri" w:eastAsia="Times New Roman" w:hAnsi="Calibri" w:cs="Calibri"/>
          <w:b/>
          <w:lang w:val="es-ES_tradnl" w:eastAsia="es-ES"/>
        </w:rPr>
      </w:pPr>
      <w:r>
        <w:rPr>
          <w:rFonts w:ascii="Calibri" w:eastAsia="Times New Roman" w:hAnsi="Calibri" w:cs="Calibri"/>
          <w:b/>
          <w:lang w:val="es-ES_tradnl" w:eastAsia="es-ES"/>
        </w:rPr>
        <w:t>3</w:t>
      </w:r>
      <w:r w:rsidR="00E435BC" w:rsidRPr="005727CA">
        <w:rPr>
          <w:rFonts w:ascii="Calibri" w:eastAsia="Times New Roman" w:hAnsi="Calibri" w:cs="Calibri"/>
          <w:b/>
          <w:lang w:val="es-ES_tradnl" w:eastAsia="es-ES"/>
        </w:rPr>
        <w:t>. Alternativas.</w:t>
      </w:r>
    </w:p>
    <w:p w14:paraId="15C318EB" w14:textId="77777777" w:rsidR="00E435BC" w:rsidRPr="005727CA" w:rsidRDefault="00E435BC" w:rsidP="00E435BC">
      <w:pPr>
        <w:spacing w:after="0" w:line="240" w:lineRule="auto"/>
        <w:jc w:val="both"/>
        <w:rPr>
          <w:rFonts w:ascii="Calibri" w:eastAsia="Times New Roman" w:hAnsi="Calibri" w:cs="Calibri"/>
          <w:b/>
          <w:strike/>
          <w:lang w:val="es-ES_tradnl" w:eastAsia="es-ES"/>
        </w:rPr>
      </w:pPr>
    </w:p>
    <w:p w14:paraId="1D6BCB02" w14:textId="77777777" w:rsidR="00770F3B" w:rsidRDefault="00770F3B" w:rsidP="00E435BC">
      <w:pPr>
        <w:spacing w:after="0" w:line="240" w:lineRule="auto"/>
        <w:jc w:val="both"/>
        <w:rPr>
          <w:rFonts w:ascii="Calibri" w:eastAsia="Times New Roman" w:hAnsi="Calibri" w:cs="Calibri"/>
          <w:lang w:val="es-ES_tradnl" w:eastAsia="es-ES"/>
        </w:rPr>
      </w:pPr>
      <w:r>
        <w:rPr>
          <w:rFonts w:ascii="Calibri" w:eastAsia="Times New Roman" w:hAnsi="Calibri" w:cs="Calibri"/>
          <w:lang w:val="es-ES_tradnl" w:eastAsia="es-ES"/>
        </w:rPr>
        <w:t xml:space="preserve">A la hora de elaborar este proyecto de real decreto, se han planteado las dos siguientes alternativas. </w:t>
      </w:r>
    </w:p>
    <w:p w14:paraId="0237A995" w14:textId="77777777" w:rsidR="00770F3B" w:rsidRDefault="00770F3B" w:rsidP="00E435BC">
      <w:pPr>
        <w:spacing w:after="0" w:line="240" w:lineRule="auto"/>
        <w:jc w:val="both"/>
        <w:rPr>
          <w:rFonts w:ascii="Calibri" w:eastAsia="Times New Roman" w:hAnsi="Calibri" w:cs="Calibri"/>
          <w:lang w:val="es-ES_tradnl" w:eastAsia="es-ES"/>
        </w:rPr>
      </w:pPr>
    </w:p>
    <w:p w14:paraId="789FA923" w14:textId="7BF59B41" w:rsidR="00E435BC" w:rsidRPr="00D2671A" w:rsidRDefault="00770F3B" w:rsidP="00E435BC">
      <w:pPr>
        <w:spacing w:after="0" w:line="240" w:lineRule="auto"/>
        <w:jc w:val="both"/>
        <w:rPr>
          <w:rFonts w:ascii="Calibri" w:eastAsia="Times New Roman" w:hAnsi="Calibri" w:cs="Calibri"/>
          <w:lang w:eastAsia="es-ES"/>
        </w:rPr>
      </w:pPr>
      <w:r>
        <w:rPr>
          <w:rFonts w:ascii="Calibri" w:eastAsia="Times New Roman" w:hAnsi="Calibri" w:cs="Calibri"/>
          <w:lang w:val="es-ES_tradnl" w:eastAsia="es-ES"/>
        </w:rPr>
        <w:t>De un lado</w:t>
      </w:r>
      <w:r w:rsidR="00E435BC" w:rsidRPr="005727CA">
        <w:rPr>
          <w:rFonts w:ascii="Calibri" w:eastAsia="Times New Roman" w:hAnsi="Calibri" w:cs="Calibri"/>
          <w:lang w:val="es-ES_tradnl" w:eastAsia="es-ES"/>
        </w:rPr>
        <w:t xml:space="preserve">, </w:t>
      </w:r>
      <w:r w:rsidR="00D2671A">
        <w:rPr>
          <w:rFonts w:ascii="Calibri" w:eastAsia="Times New Roman" w:hAnsi="Calibri" w:cs="Calibri"/>
          <w:lang w:val="es-ES_tradnl" w:eastAsia="es-ES"/>
        </w:rPr>
        <w:t>l</w:t>
      </w:r>
      <w:r w:rsidR="00D2671A" w:rsidRPr="002856B2">
        <w:rPr>
          <w:rFonts w:ascii="Calibri" w:eastAsia="Times New Roman" w:hAnsi="Calibri" w:cs="Calibri"/>
          <w:lang w:val="es-ES_tradnl" w:eastAsia="es-ES"/>
        </w:rPr>
        <w:t xml:space="preserve">a </w:t>
      </w:r>
      <w:r w:rsidR="00D2671A" w:rsidRPr="00D2671A">
        <w:rPr>
          <w:rFonts w:ascii="Calibri" w:eastAsia="Times New Roman" w:hAnsi="Calibri" w:cs="Calibri"/>
          <w:u w:val="single"/>
          <w:lang w:val="es-ES_tradnl" w:eastAsia="es-ES"/>
        </w:rPr>
        <w:t>no aprobación del real decreto de concesión directa de subvenciones</w:t>
      </w:r>
      <w:r w:rsidR="00D2671A" w:rsidRPr="002856B2">
        <w:rPr>
          <w:rFonts w:ascii="Calibri" w:eastAsia="Times New Roman" w:hAnsi="Calibri" w:cs="Calibri"/>
          <w:lang w:val="es-ES_tradnl" w:eastAsia="es-ES"/>
        </w:rPr>
        <w:t xml:space="preserve"> </w:t>
      </w:r>
      <w:r w:rsidR="00D2671A" w:rsidRPr="002856B2">
        <w:rPr>
          <w:rFonts w:ascii="Calibri" w:eastAsia="Times New Roman" w:hAnsi="Calibri" w:cs="Calibri"/>
          <w:lang w:eastAsia="es-ES"/>
        </w:rPr>
        <w:t xml:space="preserve">implicaría la falta de financiación de las </w:t>
      </w:r>
      <w:r w:rsidR="006C65AD">
        <w:rPr>
          <w:rFonts w:ascii="Calibri" w:eastAsia="Times New Roman" w:hAnsi="Calibri" w:cs="Calibri"/>
          <w:lang w:eastAsia="es-ES"/>
        </w:rPr>
        <w:t>entidades beneficiarias</w:t>
      </w:r>
      <w:r w:rsidR="00D2671A">
        <w:rPr>
          <w:rFonts w:ascii="Calibri" w:eastAsia="Times New Roman" w:hAnsi="Calibri" w:cs="Calibri"/>
          <w:lang w:eastAsia="es-ES"/>
        </w:rPr>
        <w:t xml:space="preserve">, de las cuales se ha acreditado su marcado interés público, social y económico. </w:t>
      </w:r>
    </w:p>
    <w:p w14:paraId="2028A5A5"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33287A87" w14:textId="4B5E8B2A" w:rsidR="00770F3B" w:rsidRDefault="00770F3B" w:rsidP="00E435BC">
      <w:pPr>
        <w:spacing w:after="0" w:line="240" w:lineRule="auto"/>
        <w:jc w:val="both"/>
        <w:rPr>
          <w:rFonts w:ascii="Calibri" w:eastAsia="Times New Roman" w:hAnsi="Calibri" w:cs="Calibri"/>
          <w:lang w:val="es-ES_tradnl" w:eastAsia="es-ES"/>
        </w:rPr>
      </w:pPr>
      <w:r>
        <w:rPr>
          <w:rFonts w:ascii="Calibri" w:eastAsia="Times New Roman" w:hAnsi="Calibri" w:cs="Calibri"/>
          <w:lang w:val="es-ES_tradnl" w:eastAsia="es-ES"/>
        </w:rPr>
        <w:t>De</w:t>
      </w:r>
      <w:r w:rsidR="00E435BC" w:rsidRPr="005727CA">
        <w:rPr>
          <w:rFonts w:ascii="Calibri" w:eastAsia="Times New Roman" w:hAnsi="Calibri" w:cs="Calibri"/>
          <w:lang w:val="es-ES_tradnl" w:eastAsia="es-ES"/>
        </w:rPr>
        <w:t xml:space="preserve"> otro lado, la </w:t>
      </w:r>
      <w:r w:rsidR="00E435BC" w:rsidRPr="00683612">
        <w:rPr>
          <w:rFonts w:ascii="Calibri" w:eastAsia="Times New Roman" w:hAnsi="Calibri" w:cs="Calibri"/>
          <w:u w:val="single"/>
          <w:lang w:val="es-ES_tradnl" w:eastAsia="es-ES"/>
        </w:rPr>
        <w:t>concesión directa de subvenciones en virtud del artículo 22.2.c) de la Ley 38/2003, de 17 de noviembre</w:t>
      </w:r>
      <w:r w:rsidR="00E435BC" w:rsidRPr="005727CA">
        <w:rPr>
          <w:rFonts w:ascii="Calibri" w:eastAsia="Times New Roman" w:hAnsi="Calibri" w:cs="Calibri"/>
          <w:lang w:val="es-ES_tradnl" w:eastAsia="es-ES"/>
        </w:rPr>
        <w:t xml:space="preserve">. </w:t>
      </w:r>
    </w:p>
    <w:p w14:paraId="73357010" w14:textId="7585B9F6" w:rsidR="00770F3B" w:rsidRDefault="00770F3B" w:rsidP="00E435BC">
      <w:pPr>
        <w:spacing w:after="0" w:line="240" w:lineRule="auto"/>
        <w:jc w:val="both"/>
        <w:rPr>
          <w:rFonts w:ascii="Calibri" w:eastAsia="Times New Roman" w:hAnsi="Calibri" w:cs="Calibri"/>
          <w:lang w:val="es-ES_tradnl" w:eastAsia="es-ES"/>
        </w:rPr>
      </w:pPr>
    </w:p>
    <w:p w14:paraId="263C0370" w14:textId="06353F6D" w:rsidR="00D2671A" w:rsidRDefault="00D2671A" w:rsidP="00E435BC">
      <w:pPr>
        <w:spacing w:after="0" w:line="240" w:lineRule="auto"/>
        <w:jc w:val="both"/>
        <w:rPr>
          <w:rFonts w:ascii="Calibri" w:eastAsia="Times New Roman" w:hAnsi="Calibri" w:cs="Calibri"/>
          <w:lang w:val="es-ES_tradnl" w:eastAsia="es-ES"/>
        </w:rPr>
      </w:pPr>
      <w:r w:rsidRPr="00D2671A">
        <w:rPr>
          <w:rFonts w:ascii="Calibri" w:eastAsia="Times New Roman" w:hAnsi="Calibri" w:cs="Calibri"/>
          <w:lang w:eastAsia="es-ES"/>
        </w:rPr>
        <w:t xml:space="preserve">Se ha optado por esta alternativa, pues permite el desarrollo de actuaciones por </w:t>
      </w:r>
      <w:r w:rsidR="006C65AD">
        <w:rPr>
          <w:rFonts w:ascii="Calibri" w:eastAsia="Times New Roman" w:hAnsi="Calibri" w:cs="Calibri"/>
          <w:lang w:eastAsia="es-ES"/>
        </w:rPr>
        <w:t>entidades</w:t>
      </w:r>
      <w:r w:rsidR="006B3464">
        <w:rPr>
          <w:rFonts w:ascii="Calibri" w:eastAsia="Times New Roman" w:hAnsi="Calibri" w:cs="Calibri"/>
          <w:lang w:eastAsia="es-ES"/>
        </w:rPr>
        <w:t xml:space="preserve"> </w:t>
      </w:r>
      <w:r w:rsidRPr="00D2671A">
        <w:rPr>
          <w:rFonts w:ascii="Calibri" w:eastAsia="Times New Roman" w:hAnsi="Calibri" w:cs="Calibri"/>
          <w:lang w:eastAsia="es-ES"/>
        </w:rPr>
        <w:t xml:space="preserve">que </w:t>
      </w:r>
      <w:r w:rsidR="006B3464">
        <w:rPr>
          <w:rFonts w:ascii="Calibri" w:eastAsia="Times New Roman" w:hAnsi="Calibri" w:cs="Calibri"/>
          <w:lang w:eastAsia="es-ES"/>
        </w:rPr>
        <w:t xml:space="preserve">prestan servicios de </w:t>
      </w:r>
      <w:r w:rsidRPr="00D2671A">
        <w:rPr>
          <w:rFonts w:ascii="Calibri" w:eastAsia="Times New Roman" w:hAnsi="Calibri" w:cs="Calibri"/>
          <w:lang w:eastAsia="es-ES"/>
        </w:rPr>
        <w:t>interés general para el sistema español de ciencia y tecnología y enlazan con objetivos estratégicos marcados por la Estrategia Española de Ciencia, Tecnología e Innovación (EECTI) 2021-2027.</w:t>
      </w:r>
    </w:p>
    <w:p w14:paraId="7C6268F3" w14:textId="0EBFDB65" w:rsidR="00676764" w:rsidRDefault="00676764" w:rsidP="00E435BC">
      <w:pPr>
        <w:spacing w:after="0" w:line="240" w:lineRule="auto"/>
        <w:jc w:val="both"/>
        <w:rPr>
          <w:rFonts w:ascii="Calibri" w:eastAsia="Times New Roman" w:hAnsi="Calibri" w:cs="Calibri"/>
          <w:b/>
          <w:color w:val="808080" w:themeColor="background1" w:themeShade="80"/>
          <w:lang w:val="es-ES_tradnl" w:eastAsia="es-ES"/>
        </w:rPr>
      </w:pPr>
    </w:p>
    <w:p w14:paraId="2A1CEC06" w14:textId="78583AE2" w:rsidR="00BB40BF" w:rsidRDefault="00BB40BF" w:rsidP="00E435BC">
      <w:pPr>
        <w:spacing w:after="0" w:line="240" w:lineRule="auto"/>
        <w:jc w:val="both"/>
        <w:rPr>
          <w:rFonts w:ascii="Calibri" w:eastAsia="Times New Roman" w:hAnsi="Calibri" w:cs="Calibri"/>
          <w:b/>
          <w:lang w:val="es-ES_tradnl" w:eastAsia="es-ES"/>
        </w:rPr>
      </w:pPr>
      <w:r>
        <w:rPr>
          <w:rFonts w:ascii="Calibri" w:eastAsia="Times New Roman" w:hAnsi="Calibri" w:cs="Calibri"/>
          <w:b/>
          <w:lang w:val="es-ES_tradnl" w:eastAsia="es-ES"/>
        </w:rPr>
        <w:t>4. Plan Anual Normativo</w:t>
      </w:r>
    </w:p>
    <w:p w14:paraId="6BD7E1D8" w14:textId="5400020B" w:rsidR="00BB40BF" w:rsidRDefault="00BB40BF" w:rsidP="00E435BC">
      <w:pPr>
        <w:spacing w:after="0" w:line="240" w:lineRule="auto"/>
        <w:jc w:val="both"/>
        <w:rPr>
          <w:rFonts w:ascii="Calibri" w:eastAsia="Times New Roman" w:hAnsi="Calibri" w:cs="Calibri"/>
          <w:b/>
          <w:lang w:val="es-ES_tradnl" w:eastAsia="es-ES"/>
        </w:rPr>
      </w:pPr>
    </w:p>
    <w:p w14:paraId="1F5B5377" w14:textId="454C612F" w:rsidR="00BB40BF" w:rsidRPr="00EB13A7" w:rsidRDefault="00BB40BF" w:rsidP="00EB13A7">
      <w:pPr>
        <w:spacing w:after="0" w:line="240" w:lineRule="auto"/>
        <w:jc w:val="both"/>
        <w:rPr>
          <w:rFonts w:ascii="Calibri" w:eastAsia="Times New Roman" w:hAnsi="Calibri" w:cs="Calibri"/>
          <w:lang w:val="es-ES_tradnl" w:eastAsia="es-ES"/>
        </w:rPr>
      </w:pPr>
      <w:r w:rsidRPr="00EB13A7">
        <w:rPr>
          <w:rFonts w:ascii="Calibri" w:eastAsia="Times New Roman" w:hAnsi="Calibri" w:cs="Calibri"/>
          <w:lang w:val="es-ES_tradnl" w:eastAsia="es-ES"/>
        </w:rPr>
        <w:t xml:space="preserve">No </w:t>
      </w:r>
      <w:r w:rsidR="005C4BFE">
        <w:rPr>
          <w:rFonts w:ascii="Calibri" w:eastAsia="Times New Roman" w:hAnsi="Calibri" w:cs="Calibri"/>
          <w:lang w:val="es-ES_tradnl" w:eastAsia="es-ES"/>
        </w:rPr>
        <w:t>procede incluir</w:t>
      </w:r>
      <w:r w:rsidRPr="00EB13A7">
        <w:rPr>
          <w:rFonts w:ascii="Calibri" w:eastAsia="Times New Roman" w:hAnsi="Calibri" w:cs="Calibri"/>
          <w:lang w:val="es-ES_tradnl" w:eastAsia="es-ES"/>
        </w:rPr>
        <w:t xml:space="preserve"> este Real Decreto en el Plan Anual Normativo para el año </w:t>
      </w:r>
      <w:r w:rsidRPr="000A0A4E">
        <w:rPr>
          <w:rFonts w:ascii="Calibri" w:eastAsia="Times New Roman" w:hAnsi="Calibri" w:cs="Calibri"/>
          <w:color w:val="000000" w:themeColor="text1"/>
          <w:lang w:val="es-ES_tradnl" w:eastAsia="es-ES"/>
        </w:rPr>
        <w:t>202</w:t>
      </w:r>
      <w:r w:rsidR="00CE6EB7">
        <w:rPr>
          <w:rFonts w:ascii="Calibri" w:eastAsia="Times New Roman" w:hAnsi="Calibri" w:cs="Calibri"/>
          <w:color w:val="000000" w:themeColor="text1"/>
          <w:lang w:val="es-ES_tradnl" w:eastAsia="es-ES"/>
        </w:rPr>
        <w:t>5</w:t>
      </w:r>
      <w:r w:rsidR="002D6F33" w:rsidRPr="000A0A4E">
        <w:rPr>
          <w:rFonts w:ascii="Calibri" w:eastAsia="Times New Roman" w:hAnsi="Calibri" w:cs="Calibri"/>
          <w:color w:val="000000" w:themeColor="text1"/>
          <w:lang w:val="es-ES_tradnl" w:eastAsia="es-ES"/>
        </w:rPr>
        <w:t xml:space="preserve">, </w:t>
      </w:r>
      <w:r w:rsidR="002D6F33" w:rsidRPr="00EB13A7">
        <w:rPr>
          <w:rFonts w:ascii="Calibri" w:eastAsia="Times New Roman" w:hAnsi="Calibri" w:cs="Calibri"/>
          <w:lang w:val="es-ES_tradnl" w:eastAsia="es-ES"/>
        </w:rPr>
        <w:t>en atención a lo dispuesto en los artículos 3.1 y 2 del Real Decreto 286/2017, de 24 de marzo por el que se regulan el Plan Anual Normativo y el Informe Anual de Evaluación Normativa de la Administración General del Estado y se crea la Junta de Planificación y Evaluación Normativa.</w:t>
      </w:r>
    </w:p>
    <w:p w14:paraId="7E210FA2" w14:textId="77777777" w:rsidR="00E435BC" w:rsidRPr="00EB13A7" w:rsidRDefault="00E435BC" w:rsidP="00E435BC">
      <w:pPr>
        <w:spacing w:after="0" w:line="240" w:lineRule="auto"/>
        <w:jc w:val="both"/>
        <w:rPr>
          <w:rFonts w:ascii="Calibri" w:eastAsia="Times New Roman" w:hAnsi="Calibri" w:cs="Calibri"/>
          <w:lang w:val="es-ES_tradnl" w:eastAsia="es-ES"/>
        </w:rPr>
      </w:pPr>
    </w:p>
    <w:p w14:paraId="5561A872" w14:textId="3B1D91F0" w:rsidR="00E435BC" w:rsidRPr="005727CA" w:rsidRDefault="00E435BC" w:rsidP="00E435BC">
      <w:pPr>
        <w:spacing w:after="0" w:line="240" w:lineRule="auto"/>
        <w:jc w:val="both"/>
        <w:rPr>
          <w:rFonts w:ascii="Calibri" w:eastAsia="Times New Roman" w:hAnsi="Calibri" w:cs="Calibri"/>
          <w:b/>
          <w:lang w:val="es-ES_tradnl" w:eastAsia="es-ES"/>
        </w:rPr>
      </w:pPr>
      <w:r w:rsidRPr="005727CA">
        <w:rPr>
          <w:rFonts w:ascii="Calibri" w:eastAsia="Times New Roman" w:hAnsi="Calibri" w:cs="Calibri"/>
          <w:b/>
          <w:lang w:val="es-ES_tradnl" w:eastAsia="es-ES"/>
        </w:rPr>
        <w:t>II</w:t>
      </w:r>
      <w:r w:rsidR="00DB07A0">
        <w:rPr>
          <w:rFonts w:ascii="Calibri" w:eastAsia="Times New Roman" w:hAnsi="Calibri" w:cs="Calibri"/>
          <w:b/>
          <w:lang w:val="es-ES_tradnl" w:eastAsia="es-ES"/>
        </w:rPr>
        <w:t>I</w:t>
      </w:r>
      <w:r w:rsidRPr="005727CA">
        <w:rPr>
          <w:rFonts w:ascii="Calibri" w:eastAsia="Times New Roman" w:hAnsi="Calibri" w:cs="Calibri"/>
          <w:b/>
          <w:lang w:val="es-ES_tradnl" w:eastAsia="es-ES"/>
        </w:rPr>
        <w:t>. ESTRUCTURA Y CONTENIDO.</w:t>
      </w:r>
    </w:p>
    <w:p w14:paraId="1E87FB27"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54ED2E39" w14:textId="3A455D00" w:rsidR="00E435BC" w:rsidRPr="005727CA" w:rsidRDefault="00E435BC" w:rsidP="00E435BC">
      <w:pPr>
        <w:spacing w:after="0" w:line="240" w:lineRule="auto"/>
        <w:jc w:val="both"/>
        <w:rPr>
          <w:rFonts w:ascii="Calibri" w:eastAsia="Times New Roman" w:hAnsi="Calibri" w:cs="Calibri"/>
          <w:lang w:val="es-ES_tradnl" w:eastAsia="es-ES"/>
        </w:rPr>
      </w:pPr>
      <w:r w:rsidRPr="005727CA">
        <w:rPr>
          <w:rFonts w:ascii="Calibri" w:eastAsia="Times New Roman" w:hAnsi="Calibri" w:cs="Calibri"/>
          <w:lang w:val="es-ES_tradnl" w:eastAsia="es-ES"/>
        </w:rPr>
        <w:t xml:space="preserve">El proyecto de real decreto consta de </w:t>
      </w:r>
      <w:r w:rsidR="00857ABD">
        <w:rPr>
          <w:rFonts w:ascii="Calibri" w:eastAsia="Times New Roman" w:hAnsi="Calibri" w:cs="Calibri"/>
          <w:lang w:val="es-ES_tradnl" w:eastAsia="es-ES"/>
        </w:rPr>
        <w:t xml:space="preserve">una parte expositiva en la que se exponen la oportunidad y necesidad del mismo, una parte dispositiva que consta de </w:t>
      </w:r>
      <w:r w:rsidR="00D2671A">
        <w:rPr>
          <w:lang w:val="es-ES_tradnl" w:eastAsia="es-ES"/>
        </w:rPr>
        <w:t>15</w:t>
      </w:r>
      <w:r w:rsidR="00D2671A" w:rsidRPr="00CC4711">
        <w:rPr>
          <w:lang w:val="es-ES_tradnl" w:eastAsia="es-ES"/>
        </w:rPr>
        <w:t xml:space="preserve"> artículos</w:t>
      </w:r>
      <w:r w:rsidR="00D2671A">
        <w:rPr>
          <w:lang w:val="es-ES_tradnl" w:eastAsia="es-ES"/>
        </w:rPr>
        <w:t xml:space="preserve"> </w:t>
      </w:r>
      <w:r w:rsidR="000A0A4E" w:rsidRPr="00347963">
        <w:rPr>
          <w:lang w:val="es-ES_tradnl" w:eastAsia="es-ES"/>
        </w:rPr>
        <w:t xml:space="preserve">y </w:t>
      </w:r>
      <w:r w:rsidR="00D2671A" w:rsidRPr="00347963">
        <w:rPr>
          <w:lang w:val="es-ES_tradnl" w:eastAsia="es-ES"/>
        </w:rPr>
        <w:t>tr</w:t>
      </w:r>
      <w:r w:rsidR="00D2671A">
        <w:rPr>
          <w:lang w:val="es-ES_tradnl" w:eastAsia="es-ES"/>
        </w:rPr>
        <w:t>es disposiciones finales.</w:t>
      </w:r>
    </w:p>
    <w:p w14:paraId="2A13226A" w14:textId="77777777" w:rsidR="00E435BC" w:rsidRPr="005727CA" w:rsidRDefault="00E435BC" w:rsidP="00E435BC">
      <w:pPr>
        <w:spacing w:after="0" w:line="240" w:lineRule="auto"/>
        <w:jc w:val="both"/>
        <w:rPr>
          <w:rFonts w:ascii="Calibri" w:eastAsia="Times New Roman" w:hAnsi="Calibri" w:cs="Calibri"/>
          <w:lang w:val="es-ES_tradnl" w:eastAsia="es-ES"/>
        </w:rPr>
      </w:pPr>
    </w:p>
    <w:p w14:paraId="3B1C10F4" w14:textId="243B647A" w:rsidR="00E435BC" w:rsidRPr="005727CA" w:rsidRDefault="00E435BC" w:rsidP="00E435BC">
      <w:pPr>
        <w:spacing w:after="0" w:line="240" w:lineRule="auto"/>
        <w:jc w:val="both"/>
        <w:rPr>
          <w:rFonts w:ascii="Calibri" w:eastAsia="Times New Roman" w:hAnsi="Calibri" w:cs="Calibri"/>
          <w:lang w:val="es-ES_tradnl" w:eastAsia="es-ES"/>
        </w:rPr>
      </w:pPr>
      <w:r w:rsidRPr="005727CA">
        <w:rPr>
          <w:rFonts w:ascii="Calibri" w:eastAsia="Times New Roman" w:hAnsi="Calibri" w:cs="Calibri"/>
          <w:lang w:val="es-ES_tradnl" w:eastAsia="es-ES"/>
        </w:rPr>
        <w:t>En relación con el contenido d</w:t>
      </w:r>
      <w:r w:rsidR="005727CA" w:rsidRPr="005727CA">
        <w:rPr>
          <w:rFonts w:ascii="Calibri" w:eastAsia="Times New Roman" w:hAnsi="Calibri" w:cs="Calibri"/>
          <w:lang w:val="es-ES_tradnl" w:eastAsia="es-ES"/>
        </w:rPr>
        <w:t xml:space="preserve">e este proyecto de real decreto, </w:t>
      </w:r>
      <w:r w:rsidRPr="005727CA">
        <w:rPr>
          <w:rFonts w:ascii="Calibri" w:eastAsia="Times New Roman" w:hAnsi="Calibri" w:cs="Calibri"/>
          <w:lang w:val="es-ES_tradnl" w:eastAsia="es-ES"/>
        </w:rPr>
        <w:t>se destacan los siguientes aspectos:</w:t>
      </w:r>
    </w:p>
    <w:p w14:paraId="3EC32F51" w14:textId="77777777" w:rsidR="00E435BC" w:rsidRPr="005727CA" w:rsidRDefault="00E435BC" w:rsidP="00E435BC">
      <w:pPr>
        <w:spacing w:after="0" w:line="240" w:lineRule="auto"/>
        <w:jc w:val="both"/>
        <w:rPr>
          <w:rFonts w:ascii="Calibri" w:eastAsia="Times New Roman" w:hAnsi="Calibri" w:cs="Calibri"/>
          <w:b/>
          <w:lang w:val="es-ES_tradnl" w:eastAsia="es-ES"/>
        </w:rPr>
      </w:pPr>
    </w:p>
    <w:p w14:paraId="60FB05A0" w14:textId="0ED682E4" w:rsidR="00E435BC" w:rsidRPr="005727CA" w:rsidRDefault="00E435BC" w:rsidP="00CE6EB7">
      <w:pPr>
        <w:numPr>
          <w:ilvl w:val="0"/>
          <w:numId w:val="3"/>
        </w:numPr>
        <w:tabs>
          <w:tab w:val="left" w:pos="0"/>
        </w:tabs>
        <w:spacing w:after="120" w:line="240" w:lineRule="auto"/>
        <w:ind w:left="284" w:hanging="284"/>
        <w:jc w:val="both"/>
        <w:rPr>
          <w:rFonts w:ascii="Calibri" w:eastAsia="Times New Roman" w:hAnsi="Calibri" w:cs="Calibri"/>
          <w:lang w:val="es-ES_tradnl" w:eastAsia="es-ES"/>
        </w:rPr>
      </w:pPr>
      <w:r w:rsidRPr="005727CA">
        <w:rPr>
          <w:rFonts w:ascii="Calibri" w:eastAsia="Times New Roman" w:hAnsi="Calibri" w:cs="Calibri"/>
          <w:lang w:val="es-ES_tradnl" w:eastAsia="es-ES"/>
        </w:rPr>
        <w:t xml:space="preserve">La definición del </w:t>
      </w:r>
      <w:r w:rsidRPr="00097F72">
        <w:rPr>
          <w:rFonts w:ascii="Calibri" w:eastAsia="Times New Roman" w:hAnsi="Calibri" w:cs="Calibri"/>
          <w:lang w:val="es-ES_tradnl" w:eastAsia="es-ES"/>
        </w:rPr>
        <w:t>objeto</w:t>
      </w:r>
      <w:r w:rsidRPr="005727CA">
        <w:rPr>
          <w:rFonts w:ascii="Calibri" w:eastAsia="Times New Roman" w:hAnsi="Calibri" w:cs="Calibri"/>
          <w:lang w:val="es-ES_tradnl" w:eastAsia="es-ES"/>
        </w:rPr>
        <w:t xml:space="preserve"> de la</w:t>
      </w:r>
      <w:r w:rsidR="005727CA" w:rsidRPr="005727CA">
        <w:rPr>
          <w:rFonts w:ascii="Calibri" w:eastAsia="Times New Roman" w:hAnsi="Calibri" w:cs="Calibri"/>
          <w:lang w:val="es-ES_tradnl" w:eastAsia="es-ES"/>
        </w:rPr>
        <w:t>s</w:t>
      </w:r>
      <w:r w:rsidRPr="005727CA">
        <w:rPr>
          <w:rFonts w:ascii="Calibri" w:eastAsia="Times New Roman" w:hAnsi="Calibri" w:cs="Calibri"/>
          <w:lang w:val="es-ES_tradnl" w:eastAsia="es-ES"/>
        </w:rPr>
        <w:t xml:space="preserve"> subvenci</w:t>
      </w:r>
      <w:r w:rsidR="005727CA" w:rsidRPr="005727CA">
        <w:rPr>
          <w:rFonts w:ascii="Calibri" w:eastAsia="Times New Roman" w:hAnsi="Calibri" w:cs="Calibri"/>
          <w:lang w:val="es-ES_tradnl" w:eastAsia="es-ES"/>
        </w:rPr>
        <w:t>o</w:t>
      </w:r>
      <w:r w:rsidRPr="005727CA">
        <w:rPr>
          <w:rFonts w:ascii="Calibri" w:eastAsia="Times New Roman" w:hAnsi="Calibri" w:cs="Calibri"/>
          <w:lang w:val="es-ES_tradnl" w:eastAsia="es-ES"/>
        </w:rPr>
        <w:t>n</w:t>
      </w:r>
      <w:r w:rsidR="005727CA" w:rsidRPr="005727CA">
        <w:rPr>
          <w:rFonts w:ascii="Calibri" w:eastAsia="Times New Roman" w:hAnsi="Calibri" w:cs="Calibri"/>
          <w:lang w:val="es-ES_tradnl" w:eastAsia="es-ES"/>
        </w:rPr>
        <w:t>es</w:t>
      </w:r>
      <w:r w:rsidRPr="005727CA">
        <w:rPr>
          <w:rFonts w:ascii="Calibri" w:eastAsia="Times New Roman" w:hAnsi="Calibri" w:cs="Calibri"/>
          <w:lang w:val="es-ES_tradnl" w:eastAsia="es-ES"/>
        </w:rPr>
        <w:t xml:space="preserve"> que prevé el proyecto de real decreto queda establecida en su</w:t>
      </w:r>
      <w:r w:rsidRPr="005727CA">
        <w:rPr>
          <w:rFonts w:ascii="Calibri" w:eastAsia="Times New Roman" w:hAnsi="Calibri" w:cs="Calibri"/>
          <w:b/>
          <w:lang w:val="es-ES_tradnl" w:eastAsia="es-ES"/>
        </w:rPr>
        <w:t xml:space="preserve"> artículo 1.</w:t>
      </w:r>
      <w:r w:rsidRPr="005727CA">
        <w:rPr>
          <w:rFonts w:ascii="Calibri" w:eastAsia="Times New Roman" w:hAnsi="Calibri" w:cs="Calibri"/>
          <w:lang w:val="es-ES_tradnl" w:eastAsia="es-ES"/>
        </w:rPr>
        <w:t xml:space="preserve"> </w:t>
      </w:r>
    </w:p>
    <w:p w14:paraId="6B14D87D" w14:textId="77777777" w:rsidR="00EB7ACE" w:rsidRDefault="00E435BC" w:rsidP="00CE6EB7">
      <w:pPr>
        <w:numPr>
          <w:ilvl w:val="0"/>
          <w:numId w:val="3"/>
        </w:numPr>
        <w:tabs>
          <w:tab w:val="left" w:pos="0"/>
        </w:tabs>
        <w:spacing w:after="120" w:line="240" w:lineRule="auto"/>
        <w:ind w:left="284" w:hanging="284"/>
        <w:jc w:val="both"/>
        <w:rPr>
          <w:rFonts w:ascii="Calibri" w:eastAsia="Times New Roman" w:hAnsi="Calibri" w:cs="Calibri"/>
          <w:lang w:val="es-ES_tradnl" w:eastAsia="es-ES"/>
        </w:rPr>
      </w:pPr>
      <w:r w:rsidRPr="005727CA">
        <w:rPr>
          <w:rFonts w:ascii="Calibri" w:eastAsia="Times New Roman" w:hAnsi="Calibri" w:cs="Calibri"/>
          <w:lang w:val="es-ES_tradnl" w:eastAsia="es-ES"/>
        </w:rPr>
        <w:t xml:space="preserve">El </w:t>
      </w:r>
      <w:r w:rsidRPr="005727CA">
        <w:rPr>
          <w:rFonts w:ascii="Calibri" w:eastAsia="Times New Roman" w:hAnsi="Calibri" w:cs="Calibri"/>
          <w:b/>
          <w:lang w:val="es-ES_tradnl" w:eastAsia="es-ES"/>
        </w:rPr>
        <w:t xml:space="preserve">artículo 2 </w:t>
      </w:r>
      <w:r w:rsidRPr="005727CA">
        <w:rPr>
          <w:rFonts w:ascii="Calibri" w:eastAsia="Times New Roman" w:hAnsi="Calibri" w:cs="Calibri"/>
          <w:lang w:val="es-ES_tradnl" w:eastAsia="es-ES"/>
        </w:rPr>
        <w:t xml:space="preserve">establece </w:t>
      </w:r>
      <w:r w:rsidR="003B0501" w:rsidRPr="005727CA">
        <w:rPr>
          <w:rFonts w:ascii="Calibri" w:eastAsia="Times New Roman" w:hAnsi="Calibri" w:cs="Calibri"/>
          <w:lang w:val="es-ES_tradnl" w:eastAsia="es-ES"/>
        </w:rPr>
        <w:t>el régimen jurídico aplicable a l</w:t>
      </w:r>
      <w:r w:rsidR="003B0501">
        <w:rPr>
          <w:rFonts w:ascii="Calibri" w:eastAsia="Times New Roman" w:hAnsi="Calibri" w:cs="Calibri"/>
          <w:lang w:val="es-ES_tradnl" w:eastAsia="es-ES"/>
        </w:rPr>
        <w:t>as subvenciones</w:t>
      </w:r>
      <w:r w:rsidR="003B0501" w:rsidRPr="005727CA">
        <w:rPr>
          <w:rFonts w:ascii="Calibri" w:eastAsia="Times New Roman" w:hAnsi="Calibri" w:cs="Calibri"/>
          <w:lang w:val="es-ES_tradnl" w:eastAsia="es-ES"/>
        </w:rPr>
        <w:t>, que se regirá, a</w:t>
      </w:r>
      <w:r w:rsidR="003B0501">
        <w:rPr>
          <w:rFonts w:ascii="Calibri" w:eastAsia="Times New Roman" w:hAnsi="Calibri" w:cs="Calibri"/>
          <w:lang w:val="es-ES_tradnl" w:eastAsia="es-ES"/>
        </w:rPr>
        <w:t xml:space="preserve">demás de por lo dispuesto en su </w:t>
      </w:r>
      <w:r w:rsidR="003B0501" w:rsidRPr="005727CA">
        <w:rPr>
          <w:rFonts w:ascii="Calibri" w:eastAsia="Times New Roman" w:hAnsi="Calibri" w:cs="Calibri"/>
          <w:lang w:val="es-ES_tradnl" w:eastAsia="es-ES"/>
        </w:rPr>
        <w:t>real decreto</w:t>
      </w:r>
      <w:r w:rsidR="003B0501">
        <w:rPr>
          <w:rFonts w:ascii="Calibri" w:eastAsia="Times New Roman" w:hAnsi="Calibri" w:cs="Calibri"/>
          <w:lang w:val="es-ES_tradnl" w:eastAsia="es-ES"/>
        </w:rPr>
        <w:t xml:space="preserve"> y en la convocatoria, </w:t>
      </w:r>
      <w:r w:rsidR="003B0501" w:rsidRPr="005727CA">
        <w:rPr>
          <w:rFonts w:ascii="Calibri" w:eastAsia="Times New Roman" w:hAnsi="Calibri" w:cs="Calibri"/>
          <w:lang w:val="es-ES_tradnl" w:eastAsia="es-ES"/>
        </w:rPr>
        <w:t>por lo previsto en la Ley 38/2003, de 17 de noviembre y en su Reglamento, salvo en lo que afecte a los principios de publicidad y concurrencia, así como por lo establecido en la ley 39/2015, de 1 de octubre y en las demás normas que resulten de aplicación</w:t>
      </w:r>
      <w:r w:rsidRPr="005727CA">
        <w:rPr>
          <w:rFonts w:ascii="Calibri" w:eastAsia="Times New Roman" w:hAnsi="Calibri" w:cs="Calibri"/>
          <w:lang w:val="es-ES_tradnl" w:eastAsia="es-ES"/>
        </w:rPr>
        <w:t xml:space="preserve">. </w:t>
      </w:r>
    </w:p>
    <w:p w14:paraId="68DAD1C8" w14:textId="0DAB83C2" w:rsidR="005B141C" w:rsidRPr="005B141C" w:rsidRDefault="00E435BC"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sidRPr="005B141C">
        <w:rPr>
          <w:rFonts w:ascii="Calibri" w:eastAsia="Times New Roman" w:hAnsi="Calibri" w:cs="Calibri"/>
          <w:lang w:val="es-ES_tradnl" w:eastAsia="es-ES"/>
        </w:rPr>
        <w:t xml:space="preserve">El </w:t>
      </w:r>
      <w:r w:rsidRPr="005B141C">
        <w:rPr>
          <w:rFonts w:ascii="Calibri" w:eastAsia="Times New Roman" w:hAnsi="Calibri" w:cs="Calibri"/>
          <w:b/>
          <w:lang w:val="es-ES_tradnl" w:eastAsia="es-ES"/>
        </w:rPr>
        <w:t>artículo 3</w:t>
      </w:r>
      <w:r w:rsidRPr="005B141C">
        <w:rPr>
          <w:rFonts w:ascii="Calibri" w:eastAsia="Times New Roman" w:hAnsi="Calibri" w:cs="Calibri"/>
          <w:lang w:val="es-ES_tradnl" w:eastAsia="es-ES"/>
        </w:rPr>
        <w:t xml:space="preserve"> </w:t>
      </w:r>
      <w:r w:rsidR="002C6841" w:rsidRPr="005B141C">
        <w:rPr>
          <w:rFonts w:ascii="Calibri" w:eastAsia="Times New Roman" w:hAnsi="Calibri" w:cs="Calibri"/>
          <w:lang w:val="es-ES_tradnl" w:eastAsia="es-ES"/>
        </w:rPr>
        <w:t xml:space="preserve">regula </w:t>
      </w:r>
      <w:r w:rsidR="005B141C" w:rsidRPr="005B141C">
        <w:rPr>
          <w:rFonts w:ascii="Calibri" w:eastAsia="Times New Roman" w:hAnsi="Calibri" w:cs="Calibri"/>
          <w:lang w:val="es-ES_tradnl" w:eastAsia="es-ES"/>
        </w:rPr>
        <w:t xml:space="preserve">el procedimiento de concesión de las subvenciones, realizándose mediante </w:t>
      </w:r>
      <w:r w:rsidR="005B141C" w:rsidRPr="005B141C">
        <w:rPr>
          <w:rFonts w:ascii="Calibri" w:eastAsia="Times New Roman" w:hAnsi="Calibri" w:cs="Calibri"/>
          <w:lang w:eastAsia="es-ES"/>
        </w:rPr>
        <w:t>orden de la persona titular del Ministerio de Ciencia</w:t>
      </w:r>
      <w:r w:rsidR="00FF3FDE">
        <w:rPr>
          <w:rFonts w:ascii="Calibri" w:eastAsia="Times New Roman" w:hAnsi="Calibri" w:cs="Calibri"/>
          <w:lang w:eastAsia="es-ES"/>
        </w:rPr>
        <w:t xml:space="preserve">, </w:t>
      </w:r>
      <w:r w:rsidR="008C7D3C">
        <w:rPr>
          <w:rFonts w:ascii="Calibri" w:eastAsia="Times New Roman" w:hAnsi="Calibri" w:cs="Calibri"/>
          <w:lang w:eastAsia="es-ES"/>
        </w:rPr>
        <w:t>I</w:t>
      </w:r>
      <w:r w:rsidR="00FF3FDE">
        <w:rPr>
          <w:rFonts w:ascii="Calibri" w:eastAsia="Times New Roman" w:hAnsi="Calibri" w:cs="Calibri"/>
          <w:lang w:eastAsia="es-ES"/>
        </w:rPr>
        <w:t>nnovación y Universidades,</w:t>
      </w:r>
      <w:r w:rsidR="005B141C" w:rsidRPr="005B141C">
        <w:rPr>
          <w:rFonts w:ascii="Calibri" w:eastAsia="Times New Roman" w:hAnsi="Calibri" w:cs="Calibri"/>
          <w:lang w:eastAsia="es-ES"/>
        </w:rPr>
        <w:t xml:space="preserve"> o del órgano que teng</w:t>
      </w:r>
      <w:r w:rsidR="008C7D3C">
        <w:rPr>
          <w:rFonts w:ascii="Calibri" w:eastAsia="Times New Roman" w:hAnsi="Calibri" w:cs="Calibri"/>
          <w:lang w:eastAsia="es-ES"/>
        </w:rPr>
        <w:t>a</w:t>
      </w:r>
      <w:r w:rsidR="005B141C" w:rsidRPr="005B141C">
        <w:rPr>
          <w:rFonts w:ascii="Calibri" w:eastAsia="Times New Roman" w:hAnsi="Calibri" w:cs="Calibri"/>
          <w:lang w:eastAsia="es-ES"/>
        </w:rPr>
        <w:t xml:space="preserve"> la competencia delegada en virtud de los dispuesto en la </w:t>
      </w:r>
      <w:r w:rsidR="005B141C" w:rsidRPr="000A0A4E">
        <w:rPr>
          <w:rFonts w:ascii="Calibri" w:eastAsia="Times New Roman" w:hAnsi="Calibri" w:cs="Calibri"/>
          <w:color w:val="000000" w:themeColor="text1"/>
          <w:lang w:eastAsia="es-ES"/>
        </w:rPr>
        <w:t>Orden CIN/639/2020, de 6 de julio.</w:t>
      </w:r>
    </w:p>
    <w:p w14:paraId="7F6048F3" w14:textId="7CD3EA92" w:rsidR="00E435BC" w:rsidRPr="005B141C" w:rsidRDefault="00E435BC"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sidRPr="005B141C">
        <w:rPr>
          <w:rFonts w:ascii="Calibri" w:eastAsia="Times New Roman" w:hAnsi="Calibri" w:cs="Calibri"/>
          <w:lang w:val="es-ES_tradnl" w:eastAsia="es-ES"/>
        </w:rPr>
        <w:t xml:space="preserve">El </w:t>
      </w:r>
      <w:r w:rsidRPr="005B141C">
        <w:rPr>
          <w:rFonts w:ascii="Calibri" w:eastAsia="Times New Roman" w:hAnsi="Calibri" w:cs="Calibri"/>
          <w:b/>
          <w:lang w:val="es-ES_tradnl" w:eastAsia="es-ES"/>
        </w:rPr>
        <w:t>artículo 4</w:t>
      </w:r>
      <w:r w:rsidRPr="005B141C">
        <w:rPr>
          <w:rFonts w:ascii="Calibri" w:eastAsia="Times New Roman" w:hAnsi="Calibri" w:cs="Calibri"/>
          <w:lang w:val="es-ES_tradnl" w:eastAsia="es-ES"/>
        </w:rPr>
        <w:t xml:space="preserve"> </w:t>
      </w:r>
      <w:r w:rsidR="002C6841" w:rsidRPr="005B141C">
        <w:rPr>
          <w:rFonts w:ascii="Calibri" w:eastAsia="Times New Roman" w:hAnsi="Calibri" w:cs="Calibri"/>
          <w:lang w:val="es-ES_tradnl" w:eastAsia="es-ES"/>
        </w:rPr>
        <w:t>establece l</w:t>
      </w:r>
      <w:r w:rsidR="005B141C" w:rsidRPr="005B141C">
        <w:rPr>
          <w:rFonts w:ascii="Calibri" w:eastAsia="Times New Roman" w:hAnsi="Calibri" w:cs="Calibri"/>
          <w:lang w:val="es-ES_tradnl" w:eastAsia="es-ES"/>
        </w:rPr>
        <w:t>as entidades beneficiarias y actividades subvencionables.</w:t>
      </w:r>
    </w:p>
    <w:p w14:paraId="1D22CED5" w14:textId="10932F9A" w:rsidR="003B0501" w:rsidRDefault="00E435BC"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sidRPr="005727CA">
        <w:rPr>
          <w:rFonts w:ascii="Calibri" w:eastAsia="Times New Roman" w:hAnsi="Calibri" w:cs="Calibri"/>
          <w:lang w:val="es-ES_tradnl" w:eastAsia="es-ES"/>
        </w:rPr>
        <w:lastRenderedPageBreak/>
        <w:t xml:space="preserve">El </w:t>
      </w:r>
      <w:r w:rsidRPr="005727CA">
        <w:rPr>
          <w:rFonts w:ascii="Calibri" w:eastAsia="Times New Roman" w:hAnsi="Calibri" w:cs="Calibri"/>
          <w:b/>
          <w:lang w:val="es-ES_tradnl" w:eastAsia="es-ES"/>
        </w:rPr>
        <w:t>artículo 5</w:t>
      </w:r>
      <w:r w:rsidRPr="005727CA">
        <w:rPr>
          <w:rFonts w:ascii="Calibri" w:eastAsia="Times New Roman" w:hAnsi="Calibri" w:cs="Calibri"/>
          <w:lang w:val="es-ES_tradnl" w:eastAsia="es-ES"/>
        </w:rPr>
        <w:t xml:space="preserve"> </w:t>
      </w:r>
      <w:r w:rsidR="003B0501">
        <w:rPr>
          <w:rFonts w:ascii="Calibri" w:eastAsia="Times New Roman" w:hAnsi="Calibri" w:cs="Calibri"/>
          <w:lang w:val="es-ES_tradnl" w:eastAsia="es-ES"/>
        </w:rPr>
        <w:t>establece</w:t>
      </w:r>
      <w:r w:rsidRPr="005727CA">
        <w:rPr>
          <w:rFonts w:ascii="Calibri" w:eastAsia="Times New Roman" w:hAnsi="Calibri" w:cs="Calibri"/>
          <w:lang w:val="es-ES_tradnl" w:eastAsia="es-ES"/>
        </w:rPr>
        <w:t xml:space="preserve"> </w:t>
      </w:r>
      <w:r w:rsidR="003B0501">
        <w:rPr>
          <w:rFonts w:ascii="Calibri" w:eastAsia="Times New Roman" w:hAnsi="Calibri" w:cs="Calibri"/>
          <w:lang w:val="es-ES_tradnl" w:eastAsia="es-ES"/>
        </w:rPr>
        <w:t xml:space="preserve">los </w:t>
      </w:r>
      <w:r w:rsidR="005B141C">
        <w:rPr>
          <w:rFonts w:ascii="Calibri" w:eastAsia="Times New Roman" w:hAnsi="Calibri" w:cs="Calibri"/>
          <w:lang w:val="es-ES_tradnl" w:eastAsia="es-ES"/>
        </w:rPr>
        <w:t>gastos subvencionables.</w:t>
      </w:r>
    </w:p>
    <w:p w14:paraId="1EB76001" w14:textId="0DFF8D41" w:rsidR="00A03B9F" w:rsidRPr="00A03B9F" w:rsidRDefault="00E435BC"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sidRPr="00A03B9F">
        <w:rPr>
          <w:rFonts w:ascii="Calibri" w:eastAsia="Times New Roman" w:hAnsi="Calibri" w:cs="Calibri"/>
          <w:lang w:val="es-ES_tradnl" w:eastAsia="es-ES"/>
        </w:rPr>
        <w:t xml:space="preserve">El </w:t>
      </w:r>
      <w:r w:rsidRPr="00A03B9F">
        <w:rPr>
          <w:rFonts w:ascii="Calibri" w:eastAsia="Times New Roman" w:hAnsi="Calibri" w:cs="Calibri"/>
          <w:b/>
          <w:lang w:val="es-ES_tradnl" w:eastAsia="es-ES"/>
        </w:rPr>
        <w:t>artículo 6</w:t>
      </w:r>
      <w:r w:rsidRPr="00A03B9F">
        <w:rPr>
          <w:rFonts w:ascii="Calibri" w:eastAsia="Times New Roman" w:hAnsi="Calibri" w:cs="Calibri"/>
          <w:lang w:val="es-ES_tradnl" w:eastAsia="es-ES"/>
        </w:rPr>
        <w:t xml:space="preserve"> </w:t>
      </w:r>
      <w:r w:rsidR="002558A1" w:rsidRPr="00A03B9F">
        <w:rPr>
          <w:rFonts w:ascii="Calibri" w:eastAsia="Times New Roman" w:hAnsi="Calibri" w:cs="Calibri"/>
          <w:lang w:val="es-ES_tradnl" w:eastAsia="es-ES"/>
        </w:rPr>
        <w:t>dispone</w:t>
      </w:r>
      <w:r w:rsidR="001858A0" w:rsidRPr="001858A0">
        <w:t xml:space="preserve"> </w:t>
      </w:r>
      <w:bookmarkStart w:id="2" w:name="_Hlk86742234"/>
      <w:bookmarkStart w:id="3" w:name="_Hlk86741444"/>
      <w:r w:rsidR="005B141C">
        <w:rPr>
          <w:rFonts w:ascii="Calibri" w:eastAsia="Times New Roman" w:hAnsi="Calibri" w:cs="Calibri"/>
          <w:lang w:val="es-ES_tradnl" w:eastAsia="es-ES"/>
        </w:rPr>
        <w:t xml:space="preserve">las obligaciones de las entidades beneficiarias, </w:t>
      </w:r>
      <w:r w:rsidR="005B141C" w:rsidRPr="005B141C">
        <w:rPr>
          <w:rFonts w:ascii="Calibri" w:eastAsia="Times New Roman" w:hAnsi="Calibri" w:cs="Calibri"/>
          <w:lang w:eastAsia="es-ES"/>
        </w:rPr>
        <w:t>que se recogen en el artículo 14 de la Ley 38/2003, de 17 de noviembre</w:t>
      </w:r>
      <w:bookmarkEnd w:id="2"/>
      <w:bookmarkEnd w:id="3"/>
      <w:r w:rsidR="00F73D39">
        <w:rPr>
          <w:rFonts w:ascii="Calibri" w:eastAsia="Times New Roman" w:hAnsi="Calibri" w:cs="Calibri"/>
          <w:lang w:eastAsia="es-ES"/>
        </w:rPr>
        <w:t xml:space="preserve"> e incluye el plazo para la ejecución de </w:t>
      </w:r>
      <w:r w:rsidR="00F73D39" w:rsidRPr="00F73D39">
        <w:rPr>
          <w:rFonts w:ascii="Calibri" w:eastAsia="Times New Roman" w:hAnsi="Calibri" w:cs="Calibri"/>
          <w:lang w:eastAsia="es-ES"/>
        </w:rPr>
        <w:t>las actuaciones que fundamentan la concesión de la subvención</w:t>
      </w:r>
      <w:r w:rsidR="00F73D39">
        <w:rPr>
          <w:rFonts w:ascii="Calibri" w:eastAsia="Times New Roman" w:hAnsi="Calibri" w:cs="Calibri"/>
          <w:lang w:eastAsia="es-ES"/>
        </w:rPr>
        <w:t>.</w:t>
      </w:r>
    </w:p>
    <w:p w14:paraId="2FB40D8F" w14:textId="625D64DC" w:rsidR="001B7BB8" w:rsidRDefault="00E435BC"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sidRPr="005727CA">
        <w:rPr>
          <w:rFonts w:ascii="Calibri" w:eastAsia="Times New Roman" w:hAnsi="Calibri" w:cs="Calibri"/>
          <w:lang w:val="es-ES_tradnl" w:eastAsia="es-ES"/>
        </w:rPr>
        <w:t xml:space="preserve">El </w:t>
      </w:r>
      <w:r w:rsidRPr="005727CA">
        <w:rPr>
          <w:rFonts w:ascii="Calibri" w:eastAsia="Times New Roman" w:hAnsi="Calibri" w:cs="Calibri"/>
          <w:b/>
          <w:lang w:val="es-ES_tradnl" w:eastAsia="es-ES"/>
        </w:rPr>
        <w:t>artículo 7</w:t>
      </w:r>
      <w:r w:rsidRPr="005727CA">
        <w:rPr>
          <w:rFonts w:ascii="Calibri" w:eastAsia="Times New Roman" w:hAnsi="Calibri" w:cs="Calibri"/>
          <w:lang w:val="es-ES_tradnl" w:eastAsia="es-ES"/>
        </w:rPr>
        <w:t xml:space="preserve"> </w:t>
      </w:r>
      <w:r w:rsidR="00C60AFB">
        <w:rPr>
          <w:rFonts w:ascii="Calibri" w:eastAsia="Times New Roman" w:hAnsi="Calibri" w:cs="Calibri"/>
          <w:lang w:val="es-ES_tradnl" w:eastAsia="es-ES"/>
        </w:rPr>
        <w:t xml:space="preserve">prevé </w:t>
      </w:r>
      <w:r w:rsidR="005B141C">
        <w:rPr>
          <w:rFonts w:ascii="Calibri" w:eastAsia="Times New Roman" w:hAnsi="Calibri" w:cs="Calibri"/>
          <w:lang w:val="es-ES_tradnl" w:eastAsia="es-ES"/>
        </w:rPr>
        <w:t xml:space="preserve">la posibilidad de subcontratación, en línea con lo establecido en el artículo </w:t>
      </w:r>
      <w:r w:rsidR="005B141C" w:rsidRPr="005B141C">
        <w:rPr>
          <w:rFonts w:ascii="Calibri" w:eastAsia="Times New Roman" w:hAnsi="Calibri" w:cs="Calibri"/>
          <w:lang w:eastAsia="es-ES"/>
        </w:rPr>
        <w:t>29 de la Ley 38/2003, de 17 de noviembre.</w:t>
      </w:r>
    </w:p>
    <w:p w14:paraId="76BF3C2C" w14:textId="4249056B" w:rsidR="00ED5B00" w:rsidRPr="00C60AFB" w:rsidRDefault="00E435BC" w:rsidP="00CE6EB7">
      <w:pPr>
        <w:numPr>
          <w:ilvl w:val="0"/>
          <w:numId w:val="3"/>
        </w:numPr>
        <w:tabs>
          <w:tab w:val="left" w:pos="284"/>
        </w:tabs>
        <w:spacing w:before="180" w:after="120" w:line="240" w:lineRule="auto"/>
        <w:ind w:left="284" w:hanging="284"/>
        <w:jc w:val="both"/>
        <w:rPr>
          <w:rFonts w:cstheme="minorHAnsi"/>
        </w:rPr>
      </w:pPr>
      <w:r w:rsidRPr="00C60AFB">
        <w:rPr>
          <w:rFonts w:ascii="Calibri" w:eastAsia="Times New Roman" w:hAnsi="Calibri" w:cs="Calibri"/>
          <w:lang w:val="es-ES_tradnl" w:eastAsia="es-ES"/>
        </w:rPr>
        <w:t xml:space="preserve">El </w:t>
      </w:r>
      <w:r w:rsidRPr="00C60AFB">
        <w:rPr>
          <w:rFonts w:ascii="Calibri" w:eastAsia="Times New Roman" w:hAnsi="Calibri" w:cs="Calibri"/>
          <w:b/>
          <w:lang w:val="es-ES_tradnl" w:eastAsia="es-ES"/>
        </w:rPr>
        <w:t>artículo 8</w:t>
      </w:r>
      <w:r w:rsidRPr="00C60AFB">
        <w:rPr>
          <w:rFonts w:ascii="Calibri" w:eastAsia="Times New Roman" w:hAnsi="Calibri" w:cs="Calibri"/>
          <w:lang w:val="es-ES_tradnl" w:eastAsia="es-ES"/>
        </w:rPr>
        <w:t xml:space="preserve"> </w:t>
      </w:r>
      <w:r w:rsidR="005B141C">
        <w:rPr>
          <w:rFonts w:ascii="Calibri" w:eastAsia="Times New Roman" w:hAnsi="Calibri" w:cs="Calibri"/>
          <w:lang w:val="es-ES_tradnl" w:eastAsia="es-ES"/>
        </w:rPr>
        <w:t>regula la compatibilidad de las subvenciones.</w:t>
      </w:r>
    </w:p>
    <w:p w14:paraId="773A10A7" w14:textId="2EE0E33F" w:rsidR="006C65AD" w:rsidRDefault="00E435BC" w:rsidP="00CE6EB7">
      <w:pPr>
        <w:numPr>
          <w:ilvl w:val="0"/>
          <w:numId w:val="3"/>
        </w:numPr>
        <w:tabs>
          <w:tab w:val="left" w:pos="284"/>
        </w:tabs>
        <w:spacing w:after="120" w:line="240" w:lineRule="auto"/>
        <w:ind w:left="284" w:hanging="284"/>
        <w:jc w:val="both"/>
        <w:rPr>
          <w:rFonts w:cs="Arial"/>
          <w:szCs w:val="24"/>
        </w:rPr>
      </w:pPr>
      <w:r w:rsidRPr="006B0E98">
        <w:rPr>
          <w:rFonts w:ascii="Calibri" w:eastAsia="Times New Roman" w:hAnsi="Calibri" w:cs="Calibri"/>
          <w:lang w:val="es-ES_tradnl" w:eastAsia="es-ES"/>
        </w:rPr>
        <w:t xml:space="preserve">El </w:t>
      </w:r>
      <w:r w:rsidRPr="006B0E98">
        <w:rPr>
          <w:rFonts w:ascii="Calibri" w:eastAsia="Times New Roman" w:hAnsi="Calibri" w:cs="Calibri"/>
          <w:b/>
          <w:lang w:val="es-ES_tradnl" w:eastAsia="es-ES"/>
        </w:rPr>
        <w:t>artículo 9</w:t>
      </w:r>
      <w:r w:rsidRPr="006B0E98">
        <w:rPr>
          <w:rFonts w:ascii="Calibri" w:eastAsia="Times New Roman" w:hAnsi="Calibri" w:cs="Calibri"/>
          <w:lang w:val="es-ES_tradnl" w:eastAsia="es-ES"/>
        </w:rPr>
        <w:t xml:space="preserve"> </w:t>
      </w:r>
      <w:r w:rsidR="00C60AFB">
        <w:rPr>
          <w:rFonts w:ascii="Calibri" w:eastAsia="Times New Roman" w:hAnsi="Calibri" w:cs="Calibri"/>
          <w:lang w:val="es-ES_tradnl" w:eastAsia="es-ES"/>
        </w:rPr>
        <w:t xml:space="preserve">dispone </w:t>
      </w:r>
      <w:r w:rsidR="005B141C">
        <w:rPr>
          <w:rFonts w:ascii="Calibri" w:eastAsia="Times New Roman" w:hAnsi="Calibri" w:cs="Calibri"/>
          <w:lang w:val="es-ES_tradnl" w:eastAsia="es-ES"/>
        </w:rPr>
        <w:t>la cuantía y financiación</w:t>
      </w:r>
      <w:r w:rsidR="006C65AD">
        <w:rPr>
          <w:rFonts w:ascii="Calibri" w:eastAsia="Times New Roman" w:hAnsi="Calibri" w:cs="Calibri"/>
          <w:lang w:val="es-ES_tradnl" w:eastAsia="es-ES"/>
        </w:rPr>
        <w:t xml:space="preserve"> de las subvenciones.</w:t>
      </w:r>
    </w:p>
    <w:p w14:paraId="5A7B780C" w14:textId="5ABE06FB" w:rsidR="002558A1" w:rsidRDefault="00C60AFB" w:rsidP="00CE6EB7">
      <w:pPr>
        <w:numPr>
          <w:ilvl w:val="0"/>
          <w:numId w:val="3"/>
        </w:numPr>
        <w:tabs>
          <w:tab w:val="left" w:pos="284"/>
        </w:tabs>
        <w:spacing w:before="180" w:after="120" w:line="240" w:lineRule="auto"/>
        <w:ind w:left="284" w:hanging="284"/>
        <w:jc w:val="both"/>
        <w:rPr>
          <w:rFonts w:ascii="Calibri" w:eastAsia="Times New Roman" w:hAnsi="Calibri" w:cs="Calibri"/>
          <w:lang w:val="es-ES_tradnl" w:eastAsia="es-ES"/>
        </w:rPr>
      </w:pPr>
      <w:r>
        <w:rPr>
          <w:rFonts w:ascii="Calibri" w:eastAsia="Times New Roman" w:hAnsi="Calibri" w:cs="Calibri"/>
          <w:lang w:val="es-ES_tradnl" w:eastAsia="es-ES"/>
        </w:rPr>
        <w:t xml:space="preserve">El </w:t>
      </w:r>
      <w:r w:rsidR="002558A1">
        <w:rPr>
          <w:rFonts w:ascii="Calibri" w:eastAsia="Times New Roman" w:hAnsi="Calibri" w:cs="Calibri"/>
          <w:b/>
          <w:lang w:val="es-ES_tradnl" w:eastAsia="es-ES"/>
        </w:rPr>
        <w:t>artículo 10</w:t>
      </w:r>
      <w:r>
        <w:rPr>
          <w:rFonts w:ascii="Calibri" w:eastAsia="Times New Roman" w:hAnsi="Calibri" w:cs="Calibri"/>
          <w:lang w:val="es-ES_tradnl" w:eastAsia="es-ES"/>
        </w:rPr>
        <w:t xml:space="preserve"> </w:t>
      </w:r>
      <w:r w:rsidR="00E435BC" w:rsidRPr="006B0E98">
        <w:rPr>
          <w:rFonts w:ascii="Calibri" w:eastAsia="Times New Roman" w:hAnsi="Calibri" w:cs="Calibri"/>
          <w:lang w:val="es-ES_tradnl" w:eastAsia="es-ES"/>
        </w:rPr>
        <w:t>regula el pago</w:t>
      </w:r>
      <w:r w:rsidR="005B141C">
        <w:rPr>
          <w:rFonts w:ascii="Calibri" w:eastAsia="Times New Roman" w:hAnsi="Calibri" w:cs="Calibri"/>
          <w:lang w:val="es-ES_tradnl" w:eastAsia="es-ES"/>
        </w:rPr>
        <w:t>, que se abonará en una vez.</w:t>
      </w:r>
    </w:p>
    <w:p w14:paraId="4137EE5D" w14:textId="3DECA098" w:rsidR="002558A1" w:rsidRDefault="002558A1" w:rsidP="00CE6EB7">
      <w:pPr>
        <w:numPr>
          <w:ilvl w:val="0"/>
          <w:numId w:val="3"/>
        </w:numPr>
        <w:tabs>
          <w:tab w:val="left" w:pos="284"/>
        </w:tabs>
        <w:spacing w:before="180" w:after="120" w:line="240" w:lineRule="auto"/>
        <w:ind w:left="284" w:hanging="284"/>
        <w:jc w:val="both"/>
        <w:rPr>
          <w:rFonts w:ascii="Calibri" w:eastAsia="Times New Roman" w:hAnsi="Calibri" w:cs="Calibri"/>
          <w:lang w:val="es-ES_tradnl" w:eastAsia="es-ES"/>
        </w:rPr>
      </w:pPr>
      <w:r w:rsidRPr="002558A1">
        <w:rPr>
          <w:rFonts w:ascii="Calibri" w:eastAsia="Times New Roman" w:hAnsi="Calibri" w:cs="Calibri"/>
          <w:lang w:val="es-ES_tradnl" w:eastAsia="es-ES"/>
        </w:rPr>
        <w:t xml:space="preserve">El </w:t>
      </w:r>
      <w:r w:rsidRPr="002558A1">
        <w:rPr>
          <w:rFonts w:ascii="Calibri" w:eastAsia="Times New Roman" w:hAnsi="Calibri" w:cs="Calibri"/>
          <w:b/>
          <w:lang w:val="es-ES_tradnl" w:eastAsia="es-ES"/>
        </w:rPr>
        <w:t>artículo 11</w:t>
      </w:r>
      <w:r w:rsidRPr="002558A1">
        <w:rPr>
          <w:rFonts w:ascii="Calibri" w:eastAsia="Times New Roman" w:hAnsi="Calibri" w:cs="Calibri"/>
          <w:lang w:val="es-ES_tradnl" w:eastAsia="es-ES"/>
        </w:rPr>
        <w:t xml:space="preserve"> </w:t>
      </w:r>
      <w:r w:rsidR="005B141C">
        <w:rPr>
          <w:rFonts w:ascii="Calibri" w:eastAsia="Times New Roman" w:hAnsi="Calibri" w:cs="Calibri"/>
          <w:lang w:val="es-ES_tradnl" w:eastAsia="es-ES"/>
        </w:rPr>
        <w:t>establece el régimen de justificación.</w:t>
      </w:r>
    </w:p>
    <w:p w14:paraId="39D9C0C2" w14:textId="4588C873" w:rsidR="005B141C" w:rsidRDefault="005B141C"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Pr>
          <w:rFonts w:ascii="Calibri" w:eastAsia="Times New Roman" w:hAnsi="Calibri" w:cs="Calibri"/>
          <w:lang w:val="es-ES_tradnl" w:eastAsia="es-ES"/>
        </w:rPr>
        <w:t xml:space="preserve">El </w:t>
      </w:r>
      <w:r w:rsidRPr="005B141C">
        <w:rPr>
          <w:rFonts w:ascii="Calibri" w:eastAsia="Times New Roman" w:hAnsi="Calibri" w:cs="Calibri"/>
          <w:b/>
          <w:bCs/>
          <w:lang w:val="es-ES_tradnl" w:eastAsia="es-ES"/>
        </w:rPr>
        <w:t>artículo 12</w:t>
      </w:r>
      <w:r>
        <w:rPr>
          <w:rFonts w:ascii="Calibri" w:eastAsia="Times New Roman" w:hAnsi="Calibri" w:cs="Calibri"/>
          <w:lang w:val="es-ES_tradnl" w:eastAsia="es-ES"/>
        </w:rPr>
        <w:t xml:space="preserve"> </w:t>
      </w:r>
      <w:r w:rsidRPr="00EE2A31">
        <w:rPr>
          <w:rFonts w:ascii="Calibri" w:eastAsia="Times New Roman" w:hAnsi="Calibri" w:cs="Calibri"/>
          <w:lang w:val="es-ES_tradnl" w:eastAsia="es-ES"/>
        </w:rPr>
        <w:t>versa sobre el principio de publicidad en las actuaciones que se lleven a cabo.</w:t>
      </w:r>
    </w:p>
    <w:p w14:paraId="1D97402D" w14:textId="1FDAC105" w:rsidR="00E435BC" w:rsidRDefault="00E435BC"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sidRPr="006B0E98">
        <w:rPr>
          <w:rFonts w:ascii="Calibri" w:eastAsia="Times New Roman" w:hAnsi="Calibri" w:cs="Calibri"/>
          <w:lang w:val="es-ES_tradnl" w:eastAsia="es-ES"/>
        </w:rPr>
        <w:t xml:space="preserve">El </w:t>
      </w:r>
      <w:r w:rsidR="002558A1">
        <w:rPr>
          <w:rFonts w:ascii="Calibri" w:eastAsia="Times New Roman" w:hAnsi="Calibri" w:cs="Calibri"/>
          <w:b/>
          <w:lang w:val="es-ES_tradnl" w:eastAsia="es-ES"/>
        </w:rPr>
        <w:t>artículo 1</w:t>
      </w:r>
      <w:r w:rsidR="005B141C">
        <w:rPr>
          <w:rFonts w:ascii="Calibri" w:eastAsia="Times New Roman" w:hAnsi="Calibri" w:cs="Calibri"/>
          <w:b/>
          <w:lang w:val="es-ES_tradnl" w:eastAsia="es-ES"/>
        </w:rPr>
        <w:t>3</w:t>
      </w:r>
      <w:r w:rsidRPr="006B0E98">
        <w:rPr>
          <w:rFonts w:ascii="Calibri" w:eastAsia="Times New Roman" w:hAnsi="Calibri" w:cs="Calibri"/>
          <w:lang w:val="es-ES_tradnl" w:eastAsia="es-ES"/>
        </w:rPr>
        <w:t xml:space="preserve"> </w:t>
      </w:r>
      <w:r w:rsidR="00EE2A31" w:rsidRPr="006B0E98">
        <w:rPr>
          <w:rFonts w:ascii="Calibri" w:eastAsia="Times New Roman" w:hAnsi="Calibri" w:cs="Calibri"/>
          <w:lang w:val="es-ES_tradnl" w:eastAsia="es-ES"/>
        </w:rPr>
        <w:t>establece el régimen jurídico en caso de incumplimientos</w:t>
      </w:r>
      <w:r w:rsidR="00AD707D">
        <w:rPr>
          <w:rFonts w:ascii="Calibri" w:eastAsia="Times New Roman" w:hAnsi="Calibri" w:cs="Calibri"/>
          <w:lang w:val="es-ES_tradnl" w:eastAsia="es-ES"/>
        </w:rPr>
        <w:t>,</w:t>
      </w:r>
      <w:r w:rsidR="00EE2A31" w:rsidRPr="006B0E98">
        <w:rPr>
          <w:rFonts w:ascii="Calibri" w:eastAsia="Times New Roman" w:hAnsi="Calibri" w:cs="Calibri"/>
          <w:lang w:val="es-ES_tradnl" w:eastAsia="es-ES"/>
        </w:rPr>
        <w:t xml:space="preserve"> reintegros</w:t>
      </w:r>
      <w:r w:rsidR="00AD707D">
        <w:rPr>
          <w:rFonts w:ascii="Calibri" w:eastAsia="Times New Roman" w:hAnsi="Calibri" w:cs="Calibri"/>
          <w:lang w:val="es-ES_tradnl" w:eastAsia="es-ES"/>
        </w:rPr>
        <w:t xml:space="preserve"> y criterios de graduación de incumplimientos</w:t>
      </w:r>
      <w:r w:rsidR="00EE2A31" w:rsidRPr="006B0E98">
        <w:rPr>
          <w:rFonts w:ascii="Calibri" w:eastAsia="Times New Roman" w:hAnsi="Calibri" w:cs="Calibri"/>
          <w:lang w:val="es-ES_tradnl" w:eastAsia="es-ES"/>
        </w:rPr>
        <w:t>.</w:t>
      </w:r>
    </w:p>
    <w:p w14:paraId="1CE7C3F2" w14:textId="6E35C76B" w:rsidR="00495666" w:rsidRPr="00495666" w:rsidRDefault="00E435BC"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sidRPr="006B0E98">
        <w:rPr>
          <w:rFonts w:ascii="Calibri" w:eastAsia="Times New Roman" w:hAnsi="Calibri" w:cs="Calibri"/>
          <w:lang w:val="es-ES_tradnl" w:eastAsia="es-ES"/>
        </w:rPr>
        <w:t xml:space="preserve">El </w:t>
      </w:r>
      <w:r w:rsidRPr="006B0E98">
        <w:rPr>
          <w:rFonts w:ascii="Calibri" w:eastAsia="Times New Roman" w:hAnsi="Calibri" w:cs="Calibri"/>
          <w:b/>
          <w:lang w:val="es-ES_tradnl" w:eastAsia="es-ES"/>
        </w:rPr>
        <w:t>artículo 1</w:t>
      </w:r>
      <w:r w:rsidR="005B141C">
        <w:rPr>
          <w:rFonts w:ascii="Calibri" w:eastAsia="Times New Roman" w:hAnsi="Calibri" w:cs="Calibri"/>
          <w:b/>
          <w:lang w:val="es-ES_tradnl" w:eastAsia="es-ES"/>
        </w:rPr>
        <w:t>4</w:t>
      </w:r>
      <w:r w:rsidRPr="006B0E98">
        <w:rPr>
          <w:rFonts w:ascii="Calibri" w:eastAsia="Times New Roman" w:hAnsi="Calibri" w:cs="Calibri"/>
          <w:lang w:val="es-ES_tradnl" w:eastAsia="es-ES"/>
        </w:rPr>
        <w:t xml:space="preserve"> </w:t>
      </w:r>
      <w:r w:rsidR="00EE2A31" w:rsidRPr="00C60AFB">
        <w:rPr>
          <w:rFonts w:ascii="Calibri" w:eastAsia="Times New Roman" w:hAnsi="Calibri" w:cs="Calibri"/>
          <w:lang w:val="es-ES_tradnl" w:eastAsia="es-ES"/>
        </w:rPr>
        <w:t>establece el régimen de infracciones y sanciones.</w:t>
      </w:r>
    </w:p>
    <w:p w14:paraId="3F2CEA35" w14:textId="59BB0E52" w:rsidR="00EE2A31" w:rsidRDefault="00E435BC"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sidRPr="00C60AFB">
        <w:rPr>
          <w:rFonts w:ascii="Calibri" w:eastAsia="Times New Roman" w:hAnsi="Calibri" w:cs="Calibri"/>
          <w:lang w:val="es-ES_tradnl" w:eastAsia="es-ES"/>
        </w:rPr>
        <w:t xml:space="preserve">El </w:t>
      </w:r>
      <w:r w:rsidR="002558A1">
        <w:rPr>
          <w:rFonts w:ascii="Calibri" w:eastAsia="Times New Roman" w:hAnsi="Calibri" w:cs="Calibri"/>
          <w:b/>
          <w:lang w:val="es-ES_tradnl" w:eastAsia="es-ES"/>
        </w:rPr>
        <w:t>artículo 1</w:t>
      </w:r>
      <w:r w:rsidR="005B141C">
        <w:rPr>
          <w:rFonts w:ascii="Calibri" w:eastAsia="Times New Roman" w:hAnsi="Calibri" w:cs="Calibri"/>
          <w:b/>
          <w:lang w:val="es-ES_tradnl" w:eastAsia="es-ES"/>
        </w:rPr>
        <w:t>5</w:t>
      </w:r>
      <w:r w:rsidRPr="00C60AFB">
        <w:rPr>
          <w:rFonts w:ascii="Calibri" w:eastAsia="Times New Roman" w:hAnsi="Calibri" w:cs="Calibri"/>
          <w:lang w:val="es-ES_tradnl" w:eastAsia="es-ES"/>
        </w:rPr>
        <w:t xml:space="preserve"> </w:t>
      </w:r>
      <w:r w:rsidR="005B141C">
        <w:rPr>
          <w:rFonts w:ascii="Calibri" w:eastAsia="Times New Roman" w:hAnsi="Calibri" w:cs="Calibri"/>
          <w:lang w:val="es-ES_tradnl" w:eastAsia="es-ES"/>
        </w:rPr>
        <w:t>regula la posibilidad de modificación de las órdenes de concesión</w:t>
      </w:r>
      <w:r w:rsidR="00EE2A31" w:rsidRPr="00EE2A31">
        <w:rPr>
          <w:rFonts w:ascii="Calibri" w:eastAsia="Times New Roman" w:hAnsi="Calibri" w:cs="Calibri"/>
          <w:lang w:val="es-ES_tradnl" w:eastAsia="es-ES"/>
        </w:rPr>
        <w:t>.</w:t>
      </w:r>
    </w:p>
    <w:p w14:paraId="74BBCF31" w14:textId="797C6975" w:rsidR="00AD707D" w:rsidRPr="00EE2A31" w:rsidRDefault="00AD707D" w:rsidP="00CE6EB7">
      <w:pPr>
        <w:numPr>
          <w:ilvl w:val="0"/>
          <w:numId w:val="3"/>
        </w:numPr>
        <w:tabs>
          <w:tab w:val="left" w:pos="284"/>
        </w:tabs>
        <w:spacing w:after="120" w:line="240" w:lineRule="auto"/>
        <w:ind w:left="284" w:hanging="284"/>
        <w:jc w:val="both"/>
        <w:rPr>
          <w:rFonts w:ascii="Calibri" w:eastAsia="Times New Roman" w:hAnsi="Calibri" w:cs="Calibri"/>
          <w:lang w:val="es-ES_tradnl" w:eastAsia="es-ES"/>
        </w:rPr>
      </w:pPr>
      <w:r>
        <w:rPr>
          <w:rFonts w:ascii="Calibri" w:eastAsia="Times New Roman" w:hAnsi="Calibri" w:cs="Calibri"/>
          <w:lang w:val="es-ES_tradnl" w:eastAsia="es-ES"/>
        </w:rPr>
        <w:t xml:space="preserve">El </w:t>
      </w:r>
      <w:r w:rsidRPr="00DD59F0">
        <w:rPr>
          <w:rFonts w:ascii="Calibri" w:eastAsia="Times New Roman" w:hAnsi="Calibri" w:cs="Calibri"/>
          <w:b/>
          <w:bCs/>
          <w:lang w:val="es-ES_tradnl" w:eastAsia="es-ES"/>
        </w:rPr>
        <w:t>artículo 16</w:t>
      </w:r>
      <w:r>
        <w:rPr>
          <w:rFonts w:ascii="Calibri" w:eastAsia="Times New Roman" w:hAnsi="Calibri" w:cs="Calibri"/>
          <w:lang w:val="es-ES_tradnl" w:eastAsia="es-ES"/>
        </w:rPr>
        <w:t xml:space="preserve"> regula la confidencialidad y la protección de datos de carácter personal.</w:t>
      </w:r>
    </w:p>
    <w:p w14:paraId="1D728163" w14:textId="77777777" w:rsidR="005B141C" w:rsidRDefault="00E435BC" w:rsidP="00CE6EB7">
      <w:pPr>
        <w:numPr>
          <w:ilvl w:val="0"/>
          <w:numId w:val="2"/>
        </w:numPr>
        <w:tabs>
          <w:tab w:val="num" w:pos="284"/>
        </w:tabs>
        <w:spacing w:after="120" w:line="240" w:lineRule="auto"/>
        <w:ind w:left="284" w:hanging="284"/>
        <w:jc w:val="both"/>
        <w:rPr>
          <w:rFonts w:ascii="Calibri" w:eastAsia="Times New Roman" w:hAnsi="Calibri" w:cs="Calibri"/>
          <w:lang w:val="es-ES_tradnl" w:eastAsia="es-ES"/>
        </w:rPr>
      </w:pPr>
      <w:r w:rsidRPr="006B0E98">
        <w:rPr>
          <w:rFonts w:ascii="Calibri" w:eastAsia="Times New Roman" w:hAnsi="Calibri" w:cs="Calibri"/>
          <w:lang w:val="es-ES_tradnl" w:eastAsia="es-ES"/>
        </w:rPr>
        <w:t xml:space="preserve">La </w:t>
      </w:r>
      <w:r w:rsidRPr="006B0E98">
        <w:rPr>
          <w:rFonts w:ascii="Calibri" w:eastAsia="Times New Roman" w:hAnsi="Calibri" w:cs="Calibri"/>
          <w:b/>
          <w:lang w:val="es-ES_tradnl" w:eastAsia="es-ES"/>
        </w:rPr>
        <w:t>disposición final</w:t>
      </w:r>
      <w:r w:rsidR="005B141C">
        <w:rPr>
          <w:rFonts w:ascii="Calibri" w:eastAsia="Times New Roman" w:hAnsi="Calibri" w:cs="Calibri"/>
          <w:b/>
          <w:lang w:val="es-ES_tradnl" w:eastAsia="es-ES"/>
        </w:rPr>
        <w:t xml:space="preserve"> primera</w:t>
      </w:r>
      <w:r w:rsidR="005B141C" w:rsidRPr="005B141C">
        <w:rPr>
          <w:rFonts w:ascii="Calibri" w:eastAsia="Times New Roman" w:hAnsi="Calibri" w:cs="Calibri"/>
          <w:bCs/>
          <w:lang w:val="es-ES_tradnl" w:eastAsia="es-ES"/>
        </w:rPr>
        <w:t xml:space="preserve">, sobre el título competencial, refiriéndose al </w:t>
      </w:r>
      <w:r w:rsidR="005B141C" w:rsidRPr="005B141C">
        <w:rPr>
          <w:rFonts w:ascii="Calibri" w:eastAsia="Times New Roman" w:hAnsi="Calibri" w:cs="Calibri"/>
          <w:bCs/>
          <w:lang w:eastAsia="es-ES"/>
        </w:rPr>
        <w:t>artículo 149.1.15.ª de la Constitución Española</w:t>
      </w:r>
      <w:r w:rsidR="005B141C" w:rsidRPr="005B141C">
        <w:rPr>
          <w:rFonts w:ascii="Calibri" w:eastAsia="Times New Roman" w:hAnsi="Calibri" w:cs="Calibri"/>
          <w:b/>
          <w:lang w:val="es-ES_tradnl" w:eastAsia="es-ES"/>
        </w:rPr>
        <w:t xml:space="preserve"> </w:t>
      </w:r>
    </w:p>
    <w:p w14:paraId="40CD0237" w14:textId="61DECB50" w:rsidR="00E435BC" w:rsidRPr="005B141C" w:rsidRDefault="005B141C" w:rsidP="00CE6EB7">
      <w:pPr>
        <w:numPr>
          <w:ilvl w:val="0"/>
          <w:numId w:val="2"/>
        </w:numPr>
        <w:tabs>
          <w:tab w:val="num" w:pos="284"/>
        </w:tabs>
        <w:spacing w:after="120" w:line="240" w:lineRule="auto"/>
        <w:ind w:left="284" w:hanging="284"/>
        <w:jc w:val="both"/>
        <w:rPr>
          <w:rFonts w:ascii="Calibri" w:eastAsia="Times New Roman" w:hAnsi="Calibri" w:cs="Calibri"/>
          <w:lang w:val="es-ES_tradnl" w:eastAsia="es-ES"/>
        </w:rPr>
      </w:pPr>
      <w:r>
        <w:rPr>
          <w:rFonts w:ascii="Calibri" w:eastAsia="Times New Roman" w:hAnsi="Calibri" w:cs="Calibri"/>
          <w:lang w:val="es-ES_tradnl" w:eastAsia="es-ES"/>
        </w:rPr>
        <w:t xml:space="preserve">La </w:t>
      </w:r>
      <w:r w:rsidRPr="005B141C">
        <w:rPr>
          <w:rFonts w:ascii="Calibri" w:eastAsia="Times New Roman" w:hAnsi="Calibri" w:cs="Calibri"/>
          <w:b/>
          <w:bCs/>
          <w:lang w:val="es-ES_tradnl" w:eastAsia="es-ES"/>
        </w:rPr>
        <w:t>disposición final segunda</w:t>
      </w:r>
      <w:r>
        <w:rPr>
          <w:rFonts w:ascii="Calibri" w:eastAsia="Times New Roman" w:hAnsi="Calibri" w:cs="Calibri"/>
          <w:lang w:val="es-ES_tradnl" w:eastAsia="es-ES"/>
        </w:rPr>
        <w:t xml:space="preserve">, </w:t>
      </w:r>
      <w:r w:rsidR="00E435BC" w:rsidRPr="005B141C">
        <w:rPr>
          <w:rFonts w:ascii="Calibri" w:eastAsia="Times New Roman" w:hAnsi="Calibri" w:cs="Calibri"/>
          <w:lang w:val="es-ES_tradnl" w:eastAsia="es-ES"/>
        </w:rPr>
        <w:t>habilita a</w:t>
      </w:r>
      <w:r w:rsidR="003C6E95" w:rsidRPr="005B141C">
        <w:rPr>
          <w:rFonts w:ascii="Calibri" w:eastAsia="Times New Roman" w:hAnsi="Calibri" w:cs="Calibri"/>
          <w:lang w:val="es-ES_tradnl" w:eastAsia="es-ES"/>
        </w:rPr>
        <w:t xml:space="preserve"> </w:t>
      </w:r>
      <w:r w:rsidR="00E435BC" w:rsidRPr="005B141C">
        <w:rPr>
          <w:rFonts w:ascii="Calibri" w:eastAsia="Times New Roman" w:hAnsi="Calibri" w:cs="Calibri"/>
          <w:lang w:val="es-ES_tradnl" w:eastAsia="es-ES"/>
        </w:rPr>
        <w:t>l</w:t>
      </w:r>
      <w:r w:rsidR="003C6E95" w:rsidRPr="005B141C">
        <w:rPr>
          <w:rFonts w:ascii="Calibri" w:eastAsia="Times New Roman" w:hAnsi="Calibri" w:cs="Calibri"/>
          <w:lang w:val="es-ES_tradnl" w:eastAsia="es-ES"/>
        </w:rPr>
        <w:t>a</w:t>
      </w:r>
      <w:r w:rsidR="00E435BC" w:rsidRPr="005B141C">
        <w:rPr>
          <w:rFonts w:ascii="Calibri" w:eastAsia="Times New Roman" w:hAnsi="Calibri" w:cs="Calibri"/>
          <w:lang w:val="es-ES_tradnl" w:eastAsia="es-ES"/>
        </w:rPr>
        <w:t xml:space="preserve"> </w:t>
      </w:r>
      <w:r>
        <w:rPr>
          <w:rFonts w:ascii="Calibri" w:eastAsia="Times New Roman" w:hAnsi="Calibri" w:cs="Calibri"/>
          <w:lang w:val="es-ES_tradnl" w:eastAsia="es-ES"/>
        </w:rPr>
        <w:t xml:space="preserve">persona titular del Ministerio de </w:t>
      </w:r>
      <w:r w:rsidR="00E435BC" w:rsidRPr="005B141C">
        <w:rPr>
          <w:rFonts w:ascii="Calibri" w:eastAsia="Times New Roman" w:hAnsi="Calibri" w:cs="Calibri"/>
          <w:lang w:val="es-ES_tradnl" w:eastAsia="es-ES"/>
        </w:rPr>
        <w:t>Ciencia</w:t>
      </w:r>
      <w:r w:rsidR="00FF3FDE">
        <w:rPr>
          <w:rFonts w:ascii="Calibri" w:eastAsia="Times New Roman" w:hAnsi="Calibri" w:cs="Calibri"/>
          <w:lang w:val="es-ES_tradnl" w:eastAsia="es-ES"/>
        </w:rPr>
        <w:t>, Innovación y Universidades</w:t>
      </w:r>
      <w:r w:rsidR="00E435BC" w:rsidRPr="005B141C">
        <w:rPr>
          <w:rFonts w:ascii="Calibri" w:eastAsia="Times New Roman" w:hAnsi="Calibri" w:cs="Calibri"/>
          <w:lang w:val="es-ES_tradnl" w:eastAsia="es-ES"/>
        </w:rPr>
        <w:t xml:space="preserve"> para que adopte las disposiciones necesarias para el desarrollo y ejecución de este real decreto.</w:t>
      </w:r>
    </w:p>
    <w:p w14:paraId="4E092771" w14:textId="77777777" w:rsidR="00E435BC" w:rsidRPr="006B0E98" w:rsidRDefault="00E435BC" w:rsidP="00CE6EB7">
      <w:pPr>
        <w:numPr>
          <w:ilvl w:val="0"/>
          <w:numId w:val="1"/>
        </w:numPr>
        <w:spacing w:after="120" w:line="240" w:lineRule="auto"/>
        <w:ind w:left="284" w:hanging="284"/>
        <w:jc w:val="both"/>
        <w:rPr>
          <w:rFonts w:ascii="Calibri" w:eastAsia="Times New Roman" w:hAnsi="Calibri" w:cs="Calibri"/>
          <w:lang w:val="es-ES_tradnl" w:eastAsia="es-ES"/>
        </w:rPr>
      </w:pPr>
      <w:r w:rsidRPr="006B0E98">
        <w:rPr>
          <w:rFonts w:ascii="Calibri" w:eastAsia="Times New Roman" w:hAnsi="Calibri" w:cs="Calibri"/>
          <w:lang w:val="es-ES_tradnl" w:eastAsia="es-ES"/>
        </w:rPr>
        <w:t xml:space="preserve">La </w:t>
      </w:r>
      <w:r w:rsidRPr="006B0E98">
        <w:rPr>
          <w:rFonts w:ascii="Calibri" w:eastAsia="Times New Roman" w:hAnsi="Calibri" w:cs="Calibri"/>
          <w:b/>
          <w:lang w:val="es-ES_tradnl" w:eastAsia="es-ES"/>
        </w:rPr>
        <w:t>disposición final tercera</w:t>
      </w:r>
      <w:r w:rsidRPr="006B0E98">
        <w:rPr>
          <w:rFonts w:ascii="Calibri" w:eastAsia="Times New Roman" w:hAnsi="Calibri" w:cs="Calibri"/>
          <w:lang w:val="es-ES_tradnl" w:eastAsia="es-ES"/>
        </w:rPr>
        <w:t xml:space="preserve"> señala que el real decreto</w:t>
      </w:r>
      <w:r w:rsidRPr="006B0E98">
        <w:rPr>
          <w:rFonts w:ascii="Calibri" w:eastAsia="Times New Roman" w:hAnsi="Calibri" w:cs="Calibri"/>
          <w:b/>
          <w:lang w:val="es-ES_tradnl" w:eastAsia="es-ES"/>
        </w:rPr>
        <w:t xml:space="preserve"> </w:t>
      </w:r>
      <w:r w:rsidRPr="006B0E98">
        <w:rPr>
          <w:rFonts w:ascii="Calibri" w:eastAsia="Times New Roman" w:hAnsi="Calibri" w:cs="Calibri"/>
          <w:lang w:val="es-ES_tradnl" w:eastAsia="es-ES"/>
        </w:rPr>
        <w:t xml:space="preserve">entrará en vigor el día siguiente al de su publicación en el “Boletín Oficial del Estado”. </w:t>
      </w:r>
    </w:p>
    <w:p w14:paraId="503AF7A3" w14:textId="77777777" w:rsidR="00E435BC" w:rsidRPr="00AA2092" w:rsidRDefault="00E435BC" w:rsidP="00E435BC">
      <w:pPr>
        <w:spacing w:after="0" w:line="240" w:lineRule="auto"/>
        <w:ind w:left="284"/>
        <w:jc w:val="both"/>
        <w:rPr>
          <w:rFonts w:ascii="Calibri" w:eastAsia="Times New Roman" w:hAnsi="Calibri" w:cs="Calibri"/>
          <w:color w:val="808080" w:themeColor="background1" w:themeShade="80"/>
          <w:lang w:val="es-ES_tradnl" w:eastAsia="es-ES"/>
        </w:rPr>
      </w:pPr>
    </w:p>
    <w:p w14:paraId="4F0A0D6C" w14:textId="706ADF71" w:rsidR="00E435BC" w:rsidRPr="006B0E98" w:rsidRDefault="00E435BC" w:rsidP="00E435BC">
      <w:pPr>
        <w:spacing w:after="0" w:line="240" w:lineRule="auto"/>
        <w:jc w:val="both"/>
        <w:rPr>
          <w:rFonts w:ascii="Calibri" w:eastAsia="Times New Roman" w:hAnsi="Calibri" w:cs="Calibri"/>
          <w:b/>
          <w:lang w:val="es-ES_tradnl" w:eastAsia="es-ES"/>
        </w:rPr>
      </w:pPr>
      <w:r w:rsidRPr="006B0E98">
        <w:rPr>
          <w:rFonts w:ascii="Calibri" w:eastAsia="Times New Roman" w:hAnsi="Calibri" w:cs="Calibri"/>
          <w:b/>
          <w:lang w:val="es-ES_tradnl" w:eastAsia="es-ES"/>
        </w:rPr>
        <w:t>I</w:t>
      </w:r>
      <w:r w:rsidR="00E26FA1">
        <w:rPr>
          <w:rFonts w:ascii="Calibri" w:eastAsia="Times New Roman" w:hAnsi="Calibri" w:cs="Calibri"/>
          <w:b/>
          <w:lang w:val="es-ES_tradnl" w:eastAsia="es-ES"/>
        </w:rPr>
        <w:t>V</w:t>
      </w:r>
      <w:r w:rsidRPr="006B0E98">
        <w:rPr>
          <w:rFonts w:ascii="Calibri" w:eastAsia="Times New Roman" w:hAnsi="Calibri" w:cs="Calibri"/>
          <w:b/>
          <w:lang w:val="es-ES_tradnl" w:eastAsia="es-ES"/>
        </w:rPr>
        <w:t xml:space="preserve">. ANÁLISIS JURÍDICO </w:t>
      </w:r>
    </w:p>
    <w:p w14:paraId="728043C0" w14:textId="77777777" w:rsidR="00E435BC" w:rsidRPr="006B0E98" w:rsidRDefault="00E435BC" w:rsidP="00E435BC">
      <w:pPr>
        <w:spacing w:after="0" w:line="240" w:lineRule="auto"/>
        <w:jc w:val="both"/>
        <w:rPr>
          <w:rFonts w:ascii="Calibri" w:eastAsia="Times New Roman" w:hAnsi="Calibri" w:cs="Calibri"/>
          <w:b/>
          <w:lang w:val="es-ES_tradnl" w:eastAsia="es-ES"/>
        </w:rPr>
      </w:pPr>
    </w:p>
    <w:p w14:paraId="3DB40C9E" w14:textId="77777777" w:rsidR="00E435BC" w:rsidRPr="006B0E98" w:rsidRDefault="00E435BC" w:rsidP="00E435BC">
      <w:pPr>
        <w:spacing w:after="0" w:line="240" w:lineRule="auto"/>
        <w:jc w:val="both"/>
        <w:rPr>
          <w:rFonts w:ascii="Calibri" w:eastAsia="Times New Roman" w:hAnsi="Calibri" w:cs="Calibri"/>
          <w:b/>
          <w:lang w:val="es-ES_tradnl" w:eastAsia="es-ES"/>
        </w:rPr>
      </w:pPr>
      <w:r w:rsidRPr="006B0E98">
        <w:rPr>
          <w:rFonts w:ascii="Calibri" w:eastAsia="Times New Roman" w:hAnsi="Calibri" w:cs="Calibri"/>
          <w:b/>
          <w:lang w:val="es-ES_tradnl" w:eastAsia="es-ES"/>
        </w:rPr>
        <w:t>a) Base jurídica y rango de la norma.</w:t>
      </w:r>
    </w:p>
    <w:p w14:paraId="3F54EA95"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37B82029" w14:textId="00B2BD7E" w:rsidR="00E435BC" w:rsidRPr="006B0E98" w:rsidRDefault="00E435BC" w:rsidP="00E435BC">
      <w:pPr>
        <w:spacing w:after="0" w:line="240" w:lineRule="auto"/>
        <w:jc w:val="both"/>
        <w:rPr>
          <w:rFonts w:ascii="Calibri" w:eastAsia="Times New Roman" w:hAnsi="Calibri" w:cs="Calibri"/>
          <w:lang w:val="es-ES_tradnl" w:eastAsia="es-ES"/>
        </w:rPr>
      </w:pPr>
      <w:r w:rsidRPr="006B0E98">
        <w:rPr>
          <w:rFonts w:ascii="Calibri" w:eastAsia="Times New Roman" w:hAnsi="Calibri" w:cs="Calibri"/>
          <w:lang w:val="es-ES_tradnl" w:eastAsia="es-ES"/>
        </w:rPr>
        <w:t>Este real decreto se dicta al amparo del artículo 149.1.</w:t>
      </w:r>
      <w:r w:rsidRPr="006B0E98">
        <w:rPr>
          <w:rFonts w:ascii="Calibri" w:eastAsia="Times New Roman" w:hAnsi="Calibri" w:cs="Calibri"/>
          <w:lang w:eastAsia="es-ES"/>
        </w:rPr>
        <w:t>15.ª de la Constitución, que atribuye al Estado la competencia exclusiva en materia de fomento y coordinación general de la investigación científica y técnica.</w:t>
      </w:r>
    </w:p>
    <w:p w14:paraId="2DB68A0E"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4EDB07A9" w14:textId="77777777" w:rsidR="00E435BC" w:rsidRPr="006B0E98" w:rsidRDefault="00E435BC" w:rsidP="00E435BC">
      <w:pPr>
        <w:spacing w:after="0" w:line="240" w:lineRule="auto"/>
        <w:jc w:val="both"/>
        <w:rPr>
          <w:rFonts w:ascii="Calibri" w:eastAsia="Times New Roman" w:hAnsi="Calibri" w:cs="Calibri"/>
          <w:lang w:val="es-ES_tradnl" w:eastAsia="es-ES"/>
        </w:rPr>
      </w:pPr>
      <w:r w:rsidRPr="006B0E98">
        <w:rPr>
          <w:rFonts w:ascii="Calibri" w:eastAsia="Times New Roman" w:hAnsi="Calibri" w:cs="Calibri"/>
          <w:lang w:val="es-ES_tradnl" w:eastAsia="es-ES"/>
        </w:rPr>
        <w:t>La base jurídica que establece la elaboración de este proyecto normativo está recogida en los artículos 22.2.c) y el artículo 28.2 de la Ley 38/2003, de 17 de noviembre, y el artículo 67 de su Reglamento de desarrollo aprobado por Real Decreto 887/2006, de 21 de julio, que, entre otras cuestiones, señala que el real decreto regulador tendrá el carácter de bases reguladoras de las subvenciones que establezca, e incluirá los extremos expresados en el apartado 3 del artículo 28 de la Ley General de Subvenciones. Tales extremos son los siguientes:</w:t>
      </w:r>
    </w:p>
    <w:p w14:paraId="43C1D0A9"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7D6EBD4E" w14:textId="77777777" w:rsidR="00E435BC" w:rsidRPr="006B0E98" w:rsidRDefault="00E435BC" w:rsidP="00CE6EB7">
      <w:pPr>
        <w:pStyle w:val="Prrafodelista"/>
        <w:numPr>
          <w:ilvl w:val="0"/>
          <w:numId w:val="17"/>
        </w:numPr>
        <w:spacing w:after="120" w:line="240" w:lineRule="auto"/>
        <w:ind w:left="1060" w:hanging="703"/>
        <w:contextualSpacing w:val="0"/>
        <w:jc w:val="both"/>
        <w:rPr>
          <w:rFonts w:ascii="Calibri" w:eastAsia="Times New Roman" w:hAnsi="Calibri" w:cs="Calibri"/>
          <w:lang w:val="es-ES_tradnl" w:eastAsia="es-ES"/>
        </w:rPr>
      </w:pPr>
      <w:r w:rsidRPr="006B0E98">
        <w:rPr>
          <w:rFonts w:ascii="Calibri" w:eastAsia="Times New Roman" w:hAnsi="Calibri" w:cs="Calibri"/>
          <w:lang w:val="es-ES_tradnl" w:eastAsia="es-ES"/>
        </w:rPr>
        <w:t>Definición del objeto de las subvenciones, con indicación del carácter singular de las mismas y las razones que acreditan el interés público, social, económico o humanitario y aquéllas que justifican la dificultad de su convocatoria pública.</w:t>
      </w:r>
    </w:p>
    <w:p w14:paraId="1C615858" w14:textId="77777777" w:rsidR="00E435BC" w:rsidRPr="006B0E98" w:rsidRDefault="00E435BC" w:rsidP="00CE6EB7">
      <w:pPr>
        <w:pStyle w:val="Prrafodelista"/>
        <w:numPr>
          <w:ilvl w:val="0"/>
          <w:numId w:val="17"/>
        </w:numPr>
        <w:spacing w:after="120" w:line="240" w:lineRule="auto"/>
        <w:ind w:left="1060" w:hanging="703"/>
        <w:contextualSpacing w:val="0"/>
        <w:jc w:val="both"/>
        <w:rPr>
          <w:rFonts w:ascii="Calibri" w:eastAsia="Times New Roman" w:hAnsi="Calibri" w:cs="Calibri"/>
          <w:lang w:val="es-ES_tradnl" w:eastAsia="es-ES"/>
        </w:rPr>
      </w:pPr>
      <w:r w:rsidRPr="006B0E98">
        <w:rPr>
          <w:rFonts w:ascii="Calibri" w:eastAsia="Times New Roman" w:hAnsi="Calibri" w:cs="Calibri"/>
          <w:lang w:val="es-ES_tradnl" w:eastAsia="es-ES"/>
        </w:rPr>
        <w:t>Régimen jurídico aplicable.</w:t>
      </w:r>
    </w:p>
    <w:p w14:paraId="5D86D6F3" w14:textId="77777777" w:rsidR="00E435BC" w:rsidRPr="006B0E98" w:rsidRDefault="00E435BC" w:rsidP="00CE6EB7">
      <w:pPr>
        <w:pStyle w:val="Prrafodelista"/>
        <w:numPr>
          <w:ilvl w:val="0"/>
          <w:numId w:val="17"/>
        </w:numPr>
        <w:spacing w:after="120" w:line="240" w:lineRule="auto"/>
        <w:ind w:left="1060" w:hanging="703"/>
        <w:contextualSpacing w:val="0"/>
        <w:jc w:val="both"/>
        <w:rPr>
          <w:rFonts w:ascii="Calibri" w:eastAsia="Times New Roman" w:hAnsi="Calibri" w:cs="Calibri"/>
          <w:lang w:val="es-ES_tradnl" w:eastAsia="es-ES"/>
        </w:rPr>
      </w:pPr>
      <w:r w:rsidRPr="006B0E98">
        <w:rPr>
          <w:rFonts w:ascii="Calibri" w:eastAsia="Times New Roman" w:hAnsi="Calibri" w:cs="Calibri"/>
          <w:lang w:val="es-ES_tradnl" w:eastAsia="es-ES"/>
        </w:rPr>
        <w:lastRenderedPageBreak/>
        <w:t>Beneficiarios y modalidades de ayuda.</w:t>
      </w:r>
    </w:p>
    <w:p w14:paraId="18F0FDD9" w14:textId="77777777" w:rsidR="00E435BC" w:rsidRPr="006B0E98" w:rsidRDefault="00E435BC" w:rsidP="00CE6EB7">
      <w:pPr>
        <w:pStyle w:val="Prrafodelista"/>
        <w:numPr>
          <w:ilvl w:val="0"/>
          <w:numId w:val="17"/>
        </w:numPr>
        <w:spacing w:after="120" w:line="240" w:lineRule="auto"/>
        <w:ind w:left="1060" w:hanging="703"/>
        <w:contextualSpacing w:val="0"/>
        <w:jc w:val="both"/>
        <w:rPr>
          <w:rFonts w:ascii="Calibri" w:eastAsia="Times New Roman" w:hAnsi="Calibri" w:cs="Calibri"/>
          <w:lang w:val="es-ES_tradnl" w:eastAsia="es-ES"/>
        </w:rPr>
      </w:pPr>
      <w:r w:rsidRPr="006B0E98">
        <w:rPr>
          <w:rFonts w:ascii="Calibri" w:eastAsia="Times New Roman" w:hAnsi="Calibri" w:cs="Calibri"/>
          <w:lang w:val="es-ES_tradnl" w:eastAsia="es-ES"/>
        </w:rPr>
        <w:t>Procedimiento de concesión y régimen de justificación de la aplicación dada a las subvenciones por los beneficiarios y, en su caso, entidades colaboradoras.</w:t>
      </w:r>
    </w:p>
    <w:p w14:paraId="704731F0"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7653C8A8" w14:textId="77777777" w:rsidR="00E435BC" w:rsidRPr="006B0E98" w:rsidRDefault="00E435BC" w:rsidP="00E435BC">
      <w:pPr>
        <w:spacing w:after="0" w:line="240" w:lineRule="auto"/>
        <w:jc w:val="both"/>
        <w:rPr>
          <w:rFonts w:ascii="Calibri" w:eastAsia="Times New Roman" w:hAnsi="Calibri" w:cs="Calibri"/>
          <w:lang w:val="es-ES_tradnl" w:eastAsia="es-ES"/>
        </w:rPr>
      </w:pPr>
      <w:r w:rsidRPr="006B0E98">
        <w:rPr>
          <w:rFonts w:ascii="Calibri" w:eastAsia="Times New Roman" w:hAnsi="Calibri" w:cs="Calibri"/>
          <w:lang w:val="es-ES_tradnl" w:eastAsia="es-ES"/>
        </w:rPr>
        <w:t>El rango normativo, en cumplimiento de lo señalado en el citado artículo 28.2, es el de real decreto.</w:t>
      </w:r>
    </w:p>
    <w:p w14:paraId="0745DAA2"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1DE1273C" w14:textId="77777777" w:rsidR="00E435BC" w:rsidRPr="006B0E98" w:rsidRDefault="00E435BC" w:rsidP="00E435BC">
      <w:pPr>
        <w:spacing w:after="0" w:line="240" w:lineRule="auto"/>
        <w:jc w:val="both"/>
        <w:rPr>
          <w:rFonts w:ascii="Calibri" w:eastAsia="Times New Roman" w:hAnsi="Calibri" w:cs="Calibri"/>
          <w:b/>
          <w:lang w:val="es-ES_tradnl" w:eastAsia="es-ES"/>
        </w:rPr>
      </w:pPr>
      <w:r w:rsidRPr="006B0E98">
        <w:rPr>
          <w:rFonts w:ascii="Calibri" w:eastAsia="Times New Roman" w:hAnsi="Calibri" w:cs="Calibri"/>
          <w:b/>
          <w:lang w:val="es-ES_tradnl" w:eastAsia="es-ES"/>
        </w:rPr>
        <w:t>b) Engarce con el derecho nacional e internacional.</w:t>
      </w:r>
    </w:p>
    <w:p w14:paraId="61AAECFB" w14:textId="77777777" w:rsidR="00E435BC" w:rsidRPr="00AA2092" w:rsidRDefault="00E435BC" w:rsidP="00E435BC">
      <w:pPr>
        <w:spacing w:after="0" w:line="240" w:lineRule="auto"/>
        <w:jc w:val="both"/>
        <w:rPr>
          <w:rFonts w:ascii="Calibri" w:eastAsia="Times New Roman" w:hAnsi="Calibri" w:cs="Calibri"/>
          <w:b/>
          <w:color w:val="808080" w:themeColor="background1" w:themeShade="80"/>
          <w:lang w:val="es-ES_tradnl" w:eastAsia="es-ES"/>
        </w:rPr>
      </w:pPr>
    </w:p>
    <w:p w14:paraId="75523E42" w14:textId="1AE9C0A1" w:rsidR="00E435BC" w:rsidRPr="006B0E98" w:rsidRDefault="00E435BC" w:rsidP="00E435BC">
      <w:pPr>
        <w:spacing w:after="0" w:line="240" w:lineRule="auto"/>
        <w:jc w:val="both"/>
        <w:rPr>
          <w:rFonts w:ascii="Calibri" w:eastAsia="Times New Roman" w:hAnsi="Calibri" w:cs="Calibri"/>
          <w:lang w:val="es-ES_tradnl" w:eastAsia="es-ES"/>
        </w:rPr>
      </w:pPr>
      <w:r w:rsidRPr="006B0E98">
        <w:rPr>
          <w:rFonts w:ascii="Calibri" w:eastAsia="Times New Roman" w:hAnsi="Calibri" w:cs="Calibri"/>
          <w:lang w:val="es-ES_tradnl" w:eastAsia="es-ES"/>
        </w:rPr>
        <w:t xml:space="preserve">El proyecto de real decreto se dicta al amparo de lo dispuesto en el artículo 28 de la Ley 38/2003, de 17 de noviembre. No prevé modificaciones ni derogaciones normativas, tratándose de una mera norma articuladora de la concesión directa de </w:t>
      </w:r>
      <w:r w:rsidR="00495744">
        <w:rPr>
          <w:rFonts w:ascii="Calibri" w:eastAsia="Times New Roman" w:hAnsi="Calibri" w:cs="Calibri"/>
          <w:lang w:val="es-ES_tradnl" w:eastAsia="es-ES"/>
        </w:rPr>
        <w:t>cinco</w:t>
      </w:r>
      <w:r w:rsidR="006B0E98" w:rsidRPr="006B0E98">
        <w:rPr>
          <w:rFonts w:ascii="Calibri" w:eastAsia="Times New Roman" w:hAnsi="Calibri" w:cs="Calibri"/>
          <w:lang w:val="es-ES_tradnl" w:eastAsia="es-ES"/>
        </w:rPr>
        <w:t xml:space="preserve"> </w:t>
      </w:r>
      <w:r w:rsidRPr="006B0E98">
        <w:rPr>
          <w:rFonts w:ascii="Calibri" w:eastAsia="Times New Roman" w:hAnsi="Calibri" w:cs="Calibri"/>
          <w:lang w:val="es-ES_tradnl" w:eastAsia="es-ES"/>
        </w:rPr>
        <w:t>subvenciones, por lo que engarza plenamente con la normativa nacional en materia subvencional.</w:t>
      </w:r>
    </w:p>
    <w:p w14:paraId="6F2B6B73"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6FC6162F" w14:textId="404E5144" w:rsidR="00E435BC" w:rsidRDefault="00E435BC" w:rsidP="00E435BC">
      <w:pPr>
        <w:spacing w:after="0" w:line="240" w:lineRule="auto"/>
        <w:jc w:val="both"/>
        <w:rPr>
          <w:rFonts w:ascii="Calibri" w:eastAsia="Times New Roman" w:hAnsi="Calibri" w:cs="Calibri"/>
          <w:lang w:val="es-ES_tradnl" w:eastAsia="es-ES"/>
        </w:rPr>
      </w:pPr>
      <w:r w:rsidRPr="006B0E98">
        <w:rPr>
          <w:rFonts w:ascii="Calibri" w:eastAsia="Times New Roman" w:hAnsi="Calibri" w:cs="Calibri"/>
          <w:lang w:val="es-ES_tradnl" w:eastAsia="es-ES"/>
        </w:rPr>
        <w:t>De igual modo, la</w:t>
      </w:r>
      <w:r w:rsidR="006B0E98" w:rsidRPr="006B0E98">
        <w:rPr>
          <w:rFonts w:ascii="Calibri" w:eastAsia="Times New Roman" w:hAnsi="Calibri" w:cs="Calibri"/>
          <w:lang w:val="es-ES_tradnl" w:eastAsia="es-ES"/>
        </w:rPr>
        <w:t>s</w:t>
      </w:r>
      <w:r w:rsidRPr="006B0E98">
        <w:rPr>
          <w:rFonts w:ascii="Calibri" w:eastAsia="Times New Roman" w:hAnsi="Calibri" w:cs="Calibri"/>
          <w:lang w:val="es-ES_tradnl" w:eastAsia="es-ES"/>
        </w:rPr>
        <w:t xml:space="preserve"> </w:t>
      </w:r>
      <w:r w:rsidR="006B0E98" w:rsidRPr="006B0E98">
        <w:rPr>
          <w:rFonts w:ascii="Calibri" w:eastAsia="Times New Roman" w:hAnsi="Calibri" w:cs="Calibri"/>
          <w:lang w:val="es-ES_tradnl" w:eastAsia="es-ES"/>
        </w:rPr>
        <w:t>subvenciones</w:t>
      </w:r>
      <w:r w:rsidRPr="006B0E98">
        <w:rPr>
          <w:rFonts w:ascii="Calibri" w:eastAsia="Times New Roman" w:hAnsi="Calibri" w:cs="Calibri"/>
          <w:lang w:val="es-ES_tradnl" w:eastAsia="es-ES"/>
        </w:rPr>
        <w:t xml:space="preserve"> </w:t>
      </w:r>
      <w:r w:rsidR="00975576" w:rsidRPr="00975576">
        <w:rPr>
          <w:rFonts w:ascii="Calibri" w:eastAsia="Times New Roman" w:hAnsi="Calibri" w:cs="Calibri"/>
          <w:lang w:val="es-ES_tradnl" w:eastAsia="es-ES"/>
        </w:rPr>
        <w:t>que se regulan en este real decreto no tienen carácter de ayuda de Estado a los efectos de la aplicación de los artículos 107 a 109 del Tratado de Funcionamiento de la Unión Europea, teniendo en cuenta la naturaleza de las entidades beneficiarias y el objeto de las subvenciones.</w:t>
      </w:r>
    </w:p>
    <w:p w14:paraId="17907F90" w14:textId="1D7A7355" w:rsidR="005024F0" w:rsidRDefault="005024F0" w:rsidP="00E435BC">
      <w:pPr>
        <w:spacing w:after="0" w:line="240" w:lineRule="auto"/>
        <w:jc w:val="both"/>
        <w:rPr>
          <w:rFonts w:ascii="Calibri" w:eastAsia="Times New Roman" w:hAnsi="Calibri" w:cs="Calibri"/>
          <w:lang w:val="es-ES_tradnl" w:eastAsia="es-ES"/>
        </w:rPr>
      </w:pPr>
    </w:p>
    <w:p w14:paraId="50F871E4" w14:textId="77777777" w:rsidR="00E435BC" w:rsidRPr="006B0E98" w:rsidRDefault="00E435BC" w:rsidP="00E435BC">
      <w:pPr>
        <w:spacing w:after="0" w:line="240" w:lineRule="auto"/>
        <w:jc w:val="both"/>
        <w:rPr>
          <w:rFonts w:ascii="Calibri" w:eastAsia="Times New Roman" w:hAnsi="Calibri" w:cs="Calibri"/>
          <w:b/>
          <w:lang w:val="es-ES_tradnl" w:eastAsia="es-ES"/>
        </w:rPr>
      </w:pPr>
      <w:r w:rsidRPr="006B0E98">
        <w:rPr>
          <w:rFonts w:ascii="Calibri" w:eastAsia="Times New Roman" w:hAnsi="Calibri" w:cs="Calibri"/>
          <w:b/>
          <w:lang w:val="es-ES_tradnl" w:eastAsia="es-ES"/>
        </w:rPr>
        <w:t>c) Derogación normativa.</w:t>
      </w:r>
    </w:p>
    <w:p w14:paraId="66361749" w14:textId="77777777" w:rsidR="00E435BC" w:rsidRPr="006B0E98" w:rsidRDefault="00E435BC" w:rsidP="00E435BC">
      <w:pPr>
        <w:spacing w:after="0" w:line="240" w:lineRule="auto"/>
        <w:jc w:val="both"/>
        <w:rPr>
          <w:rFonts w:ascii="Calibri" w:eastAsia="Times New Roman" w:hAnsi="Calibri" w:cs="Calibri"/>
          <w:b/>
          <w:lang w:val="es-ES_tradnl" w:eastAsia="es-ES"/>
        </w:rPr>
      </w:pPr>
    </w:p>
    <w:p w14:paraId="44283518" w14:textId="77777777" w:rsidR="00E435BC" w:rsidRPr="006B0E98" w:rsidRDefault="00E435BC" w:rsidP="00E435BC">
      <w:pPr>
        <w:spacing w:after="0" w:line="240" w:lineRule="auto"/>
        <w:jc w:val="both"/>
        <w:rPr>
          <w:rFonts w:ascii="Calibri" w:eastAsia="Times New Roman" w:hAnsi="Calibri" w:cs="Calibri"/>
          <w:lang w:val="es-ES_tradnl" w:eastAsia="es-ES"/>
        </w:rPr>
      </w:pPr>
      <w:r w:rsidRPr="006B0E98">
        <w:rPr>
          <w:rFonts w:ascii="Calibri" w:eastAsia="Times New Roman" w:hAnsi="Calibri" w:cs="Calibri"/>
          <w:lang w:val="es-ES_tradnl" w:eastAsia="es-ES"/>
        </w:rPr>
        <w:t xml:space="preserve">La aprobación de este real decreto no supone la derogación de ninguna otra norma. </w:t>
      </w:r>
    </w:p>
    <w:p w14:paraId="5589B0EF" w14:textId="77777777" w:rsidR="00E435BC" w:rsidRPr="006B0E98" w:rsidRDefault="00E435BC" w:rsidP="00E435BC">
      <w:pPr>
        <w:spacing w:after="0" w:line="240" w:lineRule="auto"/>
        <w:jc w:val="both"/>
        <w:rPr>
          <w:rFonts w:ascii="Calibri" w:eastAsia="Times New Roman" w:hAnsi="Calibri" w:cs="Calibri"/>
          <w:b/>
          <w:lang w:val="es-ES_tradnl" w:eastAsia="es-ES"/>
        </w:rPr>
      </w:pPr>
    </w:p>
    <w:p w14:paraId="1E55AB26" w14:textId="77777777" w:rsidR="00E435BC" w:rsidRPr="006B0E98" w:rsidRDefault="00E435BC" w:rsidP="00E435BC">
      <w:pPr>
        <w:spacing w:after="0" w:line="240" w:lineRule="auto"/>
        <w:jc w:val="both"/>
        <w:rPr>
          <w:rFonts w:ascii="Calibri" w:eastAsia="Times New Roman" w:hAnsi="Calibri" w:cs="Calibri"/>
          <w:b/>
          <w:lang w:val="es-ES_tradnl" w:eastAsia="es-ES"/>
        </w:rPr>
      </w:pPr>
      <w:r w:rsidRPr="006B0E98">
        <w:rPr>
          <w:rFonts w:ascii="Calibri" w:eastAsia="Times New Roman" w:hAnsi="Calibri" w:cs="Calibri"/>
          <w:b/>
          <w:lang w:val="es-ES_tradnl" w:eastAsia="es-ES"/>
        </w:rPr>
        <w:t>d) Entrada en vigor.</w:t>
      </w:r>
    </w:p>
    <w:p w14:paraId="5793A0FA"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55937E4C" w14:textId="77777777" w:rsidR="00E435BC" w:rsidRPr="006B0E98" w:rsidRDefault="00E435BC" w:rsidP="00CE6EB7">
      <w:pPr>
        <w:spacing w:after="120" w:line="240" w:lineRule="auto"/>
        <w:jc w:val="both"/>
        <w:rPr>
          <w:rFonts w:ascii="Calibri" w:eastAsia="Times New Roman" w:hAnsi="Calibri" w:cs="Calibri"/>
          <w:lang w:val="es-ES_tradnl" w:eastAsia="es-ES"/>
        </w:rPr>
      </w:pPr>
      <w:r w:rsidRPr="006B0E98">
        <w:rPr>
          <w:rFonts w:ascii="Calibri" w:eastAsia="Times New Roman" w:hAnsi="Calibri" w:cs="Calibri"/>
          <w:lang w:val="es-ES_tradnl" w:eastAsia="es-ES"/>
        </w:rPr>
        <w:t xml:space="preserve">La disposición final tercera prevé que el real decreto entrará en vigor el día siguiente al de su publicación en el “Boletín Oficial del Estado”. </w:t>
      </w:r>
    </w:p>
    <w:p w14:paraId="21EB0EAB" w14:textId="77777777" w:rsidR="00E435BC" w:rsidRPr="006B0E98" w:rsidRDefault="00E435BC" w:rsidP="00CE6EB7">
      <w:pPr>
        <w:spacing w:after="120" w:line="240" w:lineRule="auto"/>
        <w:jc w:val="both"/>
        <w:rPr>
          <w:rFonts w:ascii="Calibri" w:eastAsia="Times New Roman" w:hAnsi="Calibri" w:cs="Calibri"/>
          <w:lang w:val="es-ES_tradnl" w:eastAsia="es-ES"/>
        </w:rPr>
      </w:pPr>
      <w:r w:rsidRPr="006B0E98">
        <w:rPr>
          <w:rFonts w:ascii="Calibri" w:eastAsia="Times New Roman" w:hAnsi="Calibri" w:cs="Calibri"/>
          <w:lang w:val="es-ES_tradnl" w:eastAsia="es-ES"/>
        </w:rPr>
        <w:t>La presente norma queda exonerada de la aplicación del artículo 23 de la Ley 50/1997, de 27 de noviembre, del Gobierno ya que, en atención a su contenido, su aplicación requiere de inmediatez para atender las necesidades que se pretenden abordar.</w:t>
      </w:r>
    </w:p>
    <w:p w14:paraId="480064D4" w14:textId="77777777" w:rsidR="00E435BC" w:rsidRPr="006B0E98" w:rsidRDefault="00E435BC" w:rsidP="00E435BC">
      <w:pPr>
        <w:spacing w:after="0" w:line="240" w:lineRule="auto"/>
        <w:jc w:val="both"/>
        <w:rPr>
          <w:rFonts w:ascii="Calibri" w:eastAsia="Times New Roman" w:hAnsi="Calibri" w:cs="Calibri"/>
          <w:lang w:val="es-ES_tradnl" w:eastAsia="es-ES"/>
        </w:rPr>
      </w:pPr>
    </w:p>
    <w:p w14:paraId="5228EE6F" w14:textId="4F0AF5B3" w:rsidR="00E435BC" w:rsidRPr="006B0E98" w:rsidRDefault="00E435BC" w:rsidP="00E435BC">
      <w:pPr>
        <w:spacing w:after="0" w:line="240" w:lineRule="auto"/>
        <w:jc w:val="both"/>
        <w:rPr>
          <w:rFonts w:ascii="Calibri" w:eastAsia="Times New Roman" w:hAnsi="Calibri" w:cs="Calibri"/>
          <w:b/>
          <w:lang w:val="es-ES_tradnl" w:eastAsia="es-ES"/>
        </w:rPr>
      </w:pPr>
      <w:r w:rsidRPr="006B0E98">
        <w:rPr>
          <w:rFonts w:ascii="Calibri" w:eastAsia="Times New Roman" w:hAnsi="Calibri" w:cs="Calibri"/>
          <w:b/>
          <w:lang w:val="es-ES_tradnl" w:eastAsia="es-ES"/>
        </w:rPr>
        <w:t xml:space="preserve">V. ADECUACIÓN AL ORDEN CONSTITUCIONAL DE DISTRIBUCIÓN DE COMPETENCIAS. </w:t>
      </w:r>
    </w:p>
    <w:p w14:paraId="074FF4DD"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21718247" w14:textId="77777777" w:rsidR="00E435BC" w:rsidRPr="006B0E98" w:rsidRDefault="00E435BC" w:rsidP="00E435BC">
      <w:pPr>
        <w:spacing w:after="0" w:line="240" w:lineRule="auto"/>
        <w:jc w:val="both"/>
        <w:rPr>
          <w:rFonts w:ascii="Calibri" w:eastAsia="Times New Roman" w:hAnsi="Calibri" w:cs="Calibri"/>
          <w:lang w:val="es-ES_tradnl" w:eastAsia="es-ES"/>
        </w:rPr>
      </w:pPr>
      <w:r w:rsidRPr="006B0E98">
        <w:rPr>
          <w:rFonts w:ascii="Calibri" w:eastAsia="Times New Roman" w:hAnsi="Calibri" w:cs="Calibri"/>
          <w:lang w:val="es-ES_tradnl" w:eastAsia="es-ES"/>
        </w:rPr>
        <w:t>El real decreto se dicta al amparo del artículo 149.1.15.ª de la Constitución, que atribuye al Estado la competencia exclusiva en materia de fomento y coordinación general de la investigación científica y técnica.</w:t>
      </w:r>
    </w:p>
    <w:p w14:paraId="1A9F95EB" w14:textId="77777777" w:rsidR="00E435BC" w:rsidRPr="006B0E98" w:rsidRDefault="00E435BC" w:rsidP="00E435BC">
      <w:pPr>
        <w:spacing w:after="0" w:line="240" w:lineRule="auto"/>
        <w:jc w:val="both"/>
        <w:rPr>
          <w:rFonts w:ascii="Calibri" w:eastAsia="Times New Roman" w:hAnsi="Calibri" w:cs="Calibri"/>
          <w:lang w:val="es-ES_tradnl" w:eastAsia="es-ES"/>
        </w:rPr>
      </w:pPr>
    </w:p>
    <w:p w14:paraId="77470DB8" w14:textId="785AE920" w:rsidR="00E435BC" w:rsidRPr="006B0E98" w:rsidRDefault="00E435BC" w:rsidP="00E435BC">
      <w:pPr>
        <w:spacing w:after="0" w:line="240" w:lineRule="auto"/>
        <w:jc w:val="both"/>
        <w:rPr>
          <w:rFonts w:ascii="Calibri" w:eastAsia="Times New Roman" w:hAnsi="Calibri" w:cs="Calibri"/>
          <w:lang w:eastAsia="es-ES"/>
        </w:rPr>
      </w:pPr>
      <w:r w:rsidRPr="006B0E98">
        <w:rPr>
          <w:rFonts w:ascii="Calibri" w:eastAsia="Times New Roman" w:hAnsi="Calibri" w:cs="Calibri"/>
          <w:lang w:eastAsia="es-ES"/>
        </w:rPr>
        <w:t>En cuanto al fomento de la investigación científica y técnica, la competencia estatal no se circunscribe</w:t>
      </w:r>
      <w:r w:rsidR="007C408D">
        <w:rPr>
          <w:rFonts w:ascii="Calibri" w:eastAsia="Times New Roman" w:hAnsi="Calibri" w:cs="Calibri"/>
          <w:lang w:eastAsia="es-ES"/>
        </w:rPr>
        <w:t xml:space="preserve"> </w:t>
      </w:r>
      <w:r w:rsidRPr="006B0E98">
        <w:rPr>
          <w:rFonts w:ascii="Calibri" w:eastAsia="Times New Roman" w:hAnsi="Calibri" w:cs="Calibri"/>
          <w:lang w:eastAsia="es-ES"/>
        </w:rPr>
        <w:t>“</w:t>
      </w:r>
      <w:r w:rsidRPr="007C408D">
        <w:rPr>
          <w:rFonts w:ascii="Calibri" w:eastAsia="Times New Roman" w:hAnsi="Calibri" w:cs="Calibri"/>
          <w:i/>
          <w:iCs/>
          <w:lang w:eastAsia="es-ES"/>
        </w:rPr>
        <w:t>al mero apoyo, estímulo o incentivo de las actividades investigadoras privadas a través de la previsión</w:t>
      </w:r>
      <w:r w:rsidR="007C408D" w:rsidRPr="007C408D">
        <w:rPr>
          <w:rFonts w:ascii="Calibri" w:eastAsia="Times New Roman" w:hAnsi="Calibri" w:cs="Calibri"/>
          <w:i/>
          <w:iCs/>
          <w:lang w:eastAsia="es-ES"/>
        </w:rPr>
        <w:t xml:space="preserve"> </w:t>
      </w:r>
      <w:r w:rsidRPr="007C408D">
        <w:rPr>
          <w:rFonts w:ascii="Calibri" w:eastAsia="Times New Roman" w:hAnsi="Calibri" w:cs="Calibri"/>
          <w:i/>
          <w:iCs/>
          <w:lang w:eastAsia="es-ES"/>
        </w:rPr>
        <w:t xml:space="preserve">y </w:t>
      </w:r>
      <w:r w:rsidR="007C408D" w:rsidRPr="007C408D">
        <w:rPr>
          <w:rFonts w:ascii="Calibri" w:eastAsia="Times New Roman" w:hAnsi="Calibri" w:cs="Calibri"/>
          <w:i/>
          <w:iCs/>
          <w:lang w:eastAsia="es-ES"/>
        </w:rPr>
        <w:t>o</w:t>
      </w:r>
      <w:r w:rsidRPr="007C408D">
        <w:rPr>
          <w:rFonts w:ascii="Calibri" w:eastAsia="Times New Roman" w:hAnsi="Calibri" w:cs="Calibri"/>
          <w:i/>
          <w:iCs/>
          <w:lang w:eastAsia="es-ES"/>
        </w:rPr>
        <w:t>torgamiento de ayudas económicas o de recompensas honoríficas y similares, […] sino que la señalada expresión engloba a todas aquellas medidas encauzadas a la promoción y avance de la investigación, entre las que, sin duda, deben también incluirse las de carácter organizativo y servicial que permitan al titular de la competencia crear y mantener unidades y centros dedicados al desarrollo y divulgación de las tareas investigadoras</w:t>
      </w:r>
      <w:r w:rsidRPr="006B0E98">
        <w:rPr>
          <w:rFonts w:ascii="Calibri" w:eastAsia="Times New Roman" w:hAnsi="Calibri" w:cs="Calibri"/>
          <w:lang w:eastAsia="es-ES"/>
        </w:rPr>
        <w:t>”. El  titular “</w:t>
      </w:r>
      <w:r w:rsidRPr="007C408D">
        <w:rPr>
          <w:rFonts w:ascii="Calibri" w:eastAsia="Times New Roman" w:hAnsi="Calibri" w:cs="Calibri"/>
          <w:i/>
          <w:iCs/>
          <w:lang w:eastAsia="es-ES"/>
        </w:rPr>
        <w:t>asume potestades, tanto de orden normativo, como ejecutivo</w:t>
      </w:r>
      <w:r w:rsidRPr="006B0E98">
        <w:rPr>
          <w:rFonts w:ascii="Calibri" w:eastAsia="Times New Roman" w:hAnsi="Calibri" w:cs="Calibri"/>
          <w:lang w:eastAsia="es-ES"/>
        </w:rPr>
        <w:t>” y “</w:t>
      </w:r>
      <w:r w:rsidRPr="007C408D">
        <w:rPr>
          <w:rFonts w:ascii="Calibri" w:eastAsia="Times New Roman" w:hAnsi="Calibri" w:cs="Calibri"/>
          <w:i/>
          <w:iCs/>
          <w:lang w:eastAsia="es-ES"/>
        </w:rPr>
        <w:t>la competencia relativa al fomento de la investigación científica y técnica es proyectable sobre cualquier sector material, sin que […] pueda pretenderse la exclusión del ejercicio de la competencia para el fomento de la investigación en los ámbitos materiales cuya titularidad  no corresponda a quien ejercita  dicha competencia</w:t>
      </w:r>
      <w:r w:rsidRPr="006B0E98">
        <w:rPr>
          <w:rFonts w:ascii="Calibri" w:eastAsia="Times New Roman" w:hAnsi="Calibri" w:cs="Calibri"/>
          <w:lang w:eastAsia="es-ES"/>
        </w:rPr>
        <w:t>”, pues “</w:t>
      </w:r>
      <w:r w:rsidRPr="007C408D">
        <w:rPr>
          <w:rFonts w:ascii="Calibri" w:eastAsia="Times New Roman" w:hAnsi="Calibri" w:cs="Calibri"/>
          <w:i/>
          <w:iCs/>
          <w:lang w:eastAsia="es-ES"/>
        </w:rPr>
        <w:t xml:space="preserve">de otro modo, por la simple </w:t>
      </w:r>
      <w:r w:rsidRPr="007C408D">
        <w:rPr>
          <w:rFonts w:ascii="Calibri" w:eastAsia="Times New Roman" w:hAnsi="Calibri" w:cs="Calibri"/>
          <w:i/>
          <w:iCs/>
          <w:lang w:eastAsia="es-ES"/>
        </w:rPr>
        <w:lastRenderedPageBreak/>
        <w:t>sustracción de las materias sobre las que las Comunidades autónomas han adquirido competencia, el título competencial que la C.E. reserva al Estado como competencia exclusiva quedaría vaciado de todo contenido propio</w:t>
      </w:r>
      <w:r w:rsidRPr="006B0E98">
        <w:rPr>
          <w:rFonts w:ascii="Calibri" w:eastAsia="Times New Roman" w:hAnsi="Calibri" w:cs="Calibri"/>
          <w:lang w:eastAsia="es-ES"/>
        </w:rPr>
        <w:t>” [“puntualizaciones” recogidas en la STC 90/1992, FJ 2 A)].</w:t>
      </w:r>
    </w:p>
    <w:p w14:paraId="7BE63244" w14:textId="77777777" w:rsidR="00E435BC" w:rsidRPr="006B0E98" w:rsidRDefault="00E435BC" w:rsidP="00E435BC">
      <w:pPr>
        <w:spacing w:after="0" w:line="240" w:lineRule="auto"/>
        <w:jc w:val="both"/>
        <w:rPr>
          <w:rFonts w:ascii="Calibri" w:eastAsia="Times New Roman" w:hAnsi="Calibri" w:cs="Calibri"/>
          <w:lang w:eastAsia="es-ES"/>
        </w:rPr>
      </w:pPr>
    </w:p>
    <w:p w14:paraId="49236698" w14:textId="22AEF2D3" w:rsidR="00E435BC" w:rsidRPr="006B0E98" w:rsidRDefault="00E435BC" w:rsidP="00E435BC">
      <w:pPr>
        <w:spacing w:after="0" w:line="240" w:lineRule="auto"/>
        <w:jc w:val="both"/>
        <w:rPr>
          <w:rFonts w:ascii="Calibri" w:eastAsia="Times New Roman" w:hAnsi="Calibri" w:cs="Calibri"/>
          <w:lang w:eastAsia="es-ES"/>
        </w:rPr>
      </w:pPr>
      <w:r w:rsidRPr="006B0E98">
        <w:rPr>
          <w:rFonts w:ascii="Calibri" w:eastAsia="Times New Roman" w:hAnsi="Calibri" w:cs="Calibri"/>
          <w:lang w:eastAsia="es-ES"/>
        </w:rPr>
        <w:t>Sobre este riesgo ya se había advertido en la STC 53/1988, de 24 de marzo, al decir que el título competencial que nos ocupa “es, como determinado en razón de un fin, susceptible de ser utilizado respecto de cualquier género de materias con independencia de cuál sea el titular de la competencia para la ordenación de éstas. De otro modo, en efecto, por la simple sustracción de las materias sobre las que las Comunidades Autónomas han</w:t>
      </w:r>
      <w:r w:rsidR="007C408D">
        <w:rPr>
          <w:rFonts w:ascii="Calibri" w:eastAsia="Times New Roman" w:hAnsi="Calibri" w:cs="Calibri"/>
          <w:lang w:eastAsia="es-ES"/>
        </w:rPr>
        <w:t xml:space="preserve"> </w:t>
      </w:r>
      <w:r w:rsidRPr="006B0E98">
        <w:rPr>
          <w:rFonts w:ascii="Calibri" w:eastAsia="Times New Roman" w:hAnsi="Calibri" w:cs="Calibri"/>
          <w:lang w:eastAsia="es-ES"/>
        </w:rPr>
        <w:t>adquirido competencia, el título</w:t>
      </w:r>
      <w:r w:rsidR="007C408D">
        <w:rPr>
          <w:rFonts w:ascii="Calibri" w:eastAsia="Times New Roman" w:hAnsi="Calibri" w:cs="Calibri"/>
          <w:lang w:eastAsia="es-ES"/>
        </w:rPr>
        <w:t xml:space="preserve"> </w:t>
      </w:r>
      <w:r w:rsidRPr="006B0E98">
        <w:rPr>
          <w:rFonts w:ascii="Calibri" w:eastAsia="Times New Roman" w:hAnsi="Calibri" w:cs="Calibri"/>
          <w:lang w:eastAsia="es-ES"/>
        </w:rPr>
        <w:t>competencial que reserva al Estado, como competencia exclusiva el fomento de la investigación científica y técnica quedaría, como dice el Abogado del Estado, vaciado de todo contenido propio” (FJ 1; doctrina reiterada en la STC 186/1999, de 4 de octubre, FJ 8).</w:t>
      </w:r>
    </w:p>
    <w:p w14:paraId="6E23B3DA" w14:textId="77777777" w:rsidR="00E435BC" w:rsidRPr="006B0E98" w:rsidRDefault="00E435BC" w:rsidP="00E435BC">
      <w:pPr>
        <w:spacing w:after="0" w:line="240" w:lineRule="auto"/>
        <w:jc w:val="both"/>
        <w:rPr>
          <w:rFonts w:ascii="Calibri" w:eastAsia="Times New Roman" w:hAnsi="Calibri" w:cs="Calibri"/>
          <w:lang w:val="es-ES_tradnl" w:eastAsia="es-ES"/>
        </w:rPr>
      </w:pPr>
    </w:p>
    <w:p w14:paraId="6AB79BD8" w14:textId="0FA8F4D3" w:rsidR="00E435BC" w:rsidRDefault="006B0E98" w:rsidP="00E435BC">
      <w:pPr>
        <w:spacing w:after="0" w:line="240" w:lineRule="auto"/>
        <w:jc w:val="both"/>
        <w:rPr>
          <w:rFonts w:ascii="Calibri" w:eastAsia="Times New Roman" w:hAnsi="Calibri" w:cs="Calibri"/>
          <w:lang w:val="es-ES_tradnl" w:eastAsia="es-ES"/>
        </w:rPr>
      </w:pPr>
      <w:r>
        <w:rPr>
          <w:rFonts w:ascii="Calibri" w:eastAsia="Times New Roman" w:hAnsi="Calibri" w:cs="Calibri"/>
          <w:lang w:val="es-ES_tradnl" w:eastAsia="es-ES"/>
        </w:rPr>
        <w:t xml:space="preserve">No obstante lo anterior, en atención a su contenido que regula </w:t>
      </w:r>
      <w:r w:rsidR="00975576" w:rsidRPr="00975576">
        <w:rPr>
          <w:rFonts w:ascii="Calibri" w:eastAsia="Times New Roman" w:hAnsi="Calibri" w:cs="Calibri"/>
          <w:lang w:val="es-ES_tradnl" w:eastAsia="es-ES"/>
        </w:rPr>
        <w:t>la concesión directa de subvenciones destinadas a la cofinanciación de la contratación, en régimen laboral, de agentes locales de innovación por parte de los ayuntamientos de las ciudades miembros de la Red Innpulso</w:t>
      </w:r>
      <w:r w:rsidR="00981623">
        <w:rPr>
          <w:rFonts w:ascii="Calibri" w:eastAsia="Times New Roman" w:hAnsi="Calibri" w:cs="Calibri"/>
          <w:lang w:val="es-ES_tradnl" w:eastAsia="es-ES"/>
        </w:rPr>
        <w:t>,</w:t>
      </w:r>
      <w:r w:rsidR="00981623" w:rsidRPr="00981623">
        <w:rPr>
          <w:rFonts w:ascii="Calibri" w:eastAsia="Times New Roman" w:hAnsi="Calibri" w:cs="Calibri"/>
          <w:lang w:val="es-ES_tradnl" w:eastAsia="es-ES"/>
        </w:rPr>
        <w:t xml:space="preserve"> </w:t>
      </w:r>
      <w:r>
        <w:rPr>
          <w:rFonts w:ascii="Calibri" w:eastAsia="Times New Roman" w:hAnsi="Calibri" w:cs="Calibri"/>
          <w:lang w:val="es-ES_tradnl" w:eastAsia="es-ES"/>
        </w:rPr>
        <w:t xml:space="preserve">no se </w:t>
      </w:r>
      <w:r w:rsidR="007C408D">
        <w:rPr>
          <w:rFonts w:ascii="Calibri" w:eastAsia="Times New Roman" w:hAnsi="Calibri" w:cs="Calibri"/>
          <w:lang w:val="es-ES_tradnl" w:eastAsia="es-ES"/>
        </w:rPr>
        <w:t>entiende</w:t>
      </w:r>
      <w:r>
        <w:rPr>
          <w:rFonts w:ascii="Calibri" w:eastAsia="Times New Roman" w:hAnsi="Calibri" w:cs="Calibri"/>
          <w:lang w:val="es-ES_tradnl" w:eastAsia="es-ES"/>
        </w:rPr>
        <w:t xml:space="preserve"> que l</w:t>
      </w:r>
      <w:r w:rsidR="00E435BC" w:rsidRPr="006B0E98">
        <w:rPr>
          <w:rFonts w:ascii="Calibri" w:eastAsia="Times New Roman" w:hAnsi="Calibri" w:cs="Calibri"/>
          <w:lang w:val="es-ES_tradnl" w:eastAsia="es-ES"/>
        </w:rPr>
        <w:t>a norma proyectada produzca impacto alguno en el orden de distribución de competencias entre el Estado y las Comunidades Autónomas.</w:t>
      </w:r>
    </w:p>
    <w:p w14:paraId="2FA6BBB4" w14:textId="77777777" w:rsidR="00356FA9" w:rsidRPr="006B0E98" w:rsidRDefault="00356FA9" w:rsidP="00E435BC">
      <w:pPr>
        <w:spacing w:after="0" w:line="240" w:lineRule="auto"/>
        <w:jc w:val="both"/>
        <w:rPr>
          <w:rFonts w:ascii="Calibri" w:eastAsia="Times New Roman" w:hAnsi="Calibri" w:cs="Calibri"/>
          <w:lang w:val="es-ES_tradnl" w:eastAsia="es-ES"/>
        </w:rPr>
      </w:pPr>
    </w:p>
    <w:p w14:paraId="2E1A2B9D" w14:textId="341F307F" w:rsidR="00E435BC" w:rsidRPr="006B0E98" w:rsidRDefault="00E435BC" w:rsidP="00E435BC">
      <w:pPr>
        <w:spacing w:after="0" w:line="240" w:lineRule="auto"/>
        <w:jc w:val="both"/>
        <w:rPr>
          <w:rFonts w:ascii="Calibri" w:eastAsia="Times New Roman" w:hAnsi="Calibri" w:cs="Calibri"/>
          <w:b/>
          <w:lang w:val="es-ES_tradnl" w:eastAsia="es-ES"/>
        </w:rPr>
      </w:pPr>
      <w:r w:rsidRPr="006B0E98">
        <w:rPr>
          <w:rFonts w:ascii="Calibri" w:eastAsia="Times New Roman" w:hAnsi="Calibri" w:cs="Calibri"/>
          <w:b/>
          <w:lang w:val="es-ES_tradnl" w:eastAsia="es-ES"/>
        </w:rPr>
        <w:t>V</w:t>
      </w:r>
      <w:r w:rsidR="00A0760D">
        <w:rPr>
          <w:rFonts w:ascii="Calibri" w:eastAsia="Times New Roman" w:hAnsi="Calibri" w:cs="Calibri"/>
          <w:b/>
          <w:lang w:val="es-ES_tradnl" w:eastAsia="es-ES"/>
        </w:rPr>
        <w:t>I</w:t>
      </w:r>
      <w:r w:rsidRPr="006B0E98">
        <w:rPr>
          <w:rFonts w:ascii="Calibri" w:eastAsia="Times New Roman" w:hAnsi="Calibri" w:cs="Calibri"/>
          <w:b/>
          <w:lang w:val="es-ES_tradnl" w:eastAsia="es-ES"/>
        </w:rPr>
        <w:t>. DESCRIPCIÓN DE LA TRAMITACIÓN</w:t>
      </w:r>
    </w:p>
    <w:p w14:paraId="3D07EE57"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24B9C945" w14:textId="1FB54AF1" w:rsidR="000A0A4E" w:rsidRPr="0071046A" w:rsidRDefault="00E435BC" w:rsidP="0071046A">
      <w:pPr>
        <w:spacing w:line="240" w:lineRule="auto"/>
        <w:jc w:val="both"/>
        <w:rPr>
          <w:rFonts w:eastAsia="Times New Roman" w:cstheme="minorHAnsi"/>
          <w:lang w:eastAsia="es-ES"/>
        </w:rPr>
      </w:pPr>
      <w:r w:rsidRPr="006B0E98">
        <w:rPr>
          <w:rFonts w:ascii="Calibri" w:eastAsia="Times New Roman" w:hAnsi="Calibri" w:cs="Calibri"/>
          <w:lang w:val="es-ES_tradnl" w:eastAsia="es-ES"/>
        </w:rPr>
        <w:t>Este proyecto de real decreto constituye una iniciativa del Ministerio de Ciencia</w:t>
      </w:r>
      <w:r w:rsidR="00FF3FDE">
        <w:rPr>
          <w:rFonts w:ascii="Calibri" w:eastAsia="Times New Roman" w:hAnsi="Calibri" w:cs="Calibri"/>
          <w:lang w:val="es-ES_tradnl" w:eastAsia="es-ES"/>
        </w:rPr>
        <w:t>,</w:t>
      </w:r>
      <w:r w:rsidRPr="006B0E98">
        <w:rPr>
          <w:rFonts w:ascii="Calibri" w:eastAsia="Times New Roman" w:hAnsi="Calibri" w:cs="Calibri"/>
          <w:lang w:val="es-ES_tradnl" w:eastAsia="es-ES"/>
        </w:rPr>
        <w:t xml:space="preserve"> Innovación</w:t>
      </w:r>
      <w:r w:rsidR="00FF3FDE">
        <w:rPr>
          <w:rFonts w:ascii="Calibri" w:eastAsia="Times New Roman" w:hAnsi="Calibri" w:cs="Calibri"/>
          <w:lang w:val="es-ES_tradnl" w:eastAsia="es-ES"/>
        </w:rPr>
        <w:t xml:space="preserve"> y Universidades</w:t>
      </w:r>
      <w:r w:rsidRPr="006B0E98">
        <w:rPr>
          <w:rFonts w:ascii="Calibri" w:eastAsia="Times New Roman" w:hAnsi="Calibri" w:cs="Calibri"/>
          <w:lang w:val="es-ES_tradnl" w:eastAsia="es-ES"/>
        </w:rPr>
        <w:t xml:space="preserve">, en el ejercicio de sus competencias como departamento de la Administración General del Estado encargado de la ejecución de la política del Gobierno en </w:t>
      </w:r>
      <w:r w:rsidRPr="0071046A">
        <w:rPr>
          <w:rFonts w:eastAsia="Times New Roman" w:cstheme="minorHAnsi"/>
          <w:lang w:val="es-ES_tradnl" w:eastAsia="es-ES"/>
        </w:rPr>
        <w:t xml:space="preserve">materia de ciencia, desarrollo tecnológico e innovación en todos los sectores, tal y como señala el artículo 19 del </w:t>
      </w:r>
      <w:r w:rsidR="000A0A4E" w:rsidRPr="0071046A">
        <w:rPr>
          <w:rFonts w:eastAsia="Times New Roman" w:cstheme="minorHAnsi"/>
          <w:lang w:eastAsia="es-ES"/>
        </w:rPr>
        <w:t>Real Decreto 829/2023, de 20 de noviembre, por el que se reestructuran los departamentos ministeriales</w:t>
      </w:r>
      <w:r w:rsidR="0071046A" w:rsidRPr="0071046A">
        <w:rPr>
          <w:rFonts w:eastAsia="Times New Roman" w:cstheme="minorHAnsi"/>
          <w:lang w:eastAsia="es-ES"/>
        </w:rPr>
        <w:t>.</w:t>
      </w:r>
    </w:p>
    <w:p w14:paraId="40752D29" w14:textId="37A0E172" w:rsidR="0071046A" w:rsidRPr="0071046A" w:rsidRDefault="0071046A" w:rsidP="0071046A">
      <w:pPr>
        <w:spacing w:line="240" w:lineRule="auto"/>
        <w:jc w:val="both"/>
        <w:rPr>
          <w:rFonts w:eastAsia="Times New Roman" w:cstheme="minorHAnsi"/>
          <w:lang w:eastAsia="es-ES"/>
        </w:rPr>
      </w:pPr>
      <w:r w:rsidRPr="0071046A">
        <w:rPr>
          <w:rFonts w:cstheme="minorHAnsi"/>
        </w:rPr>
        <w:t>La concesión de estas subvenciones se realizará mediante orden de la persona titular de la Secretaría General de Investigación del Ministerio de Estado de Ciencia, Innovación y Universidades. El Gabinete Técnico de la Secretaría General de Investigación actuará como órgano competente para la instrucción del procedimiento de concesión y para el seguimiento de su aplicación, con respecto a la subvención a COSCE, y la Subdirección General de Consorcios, Organismos e Infraestructuras Científicas Internacionales, con respecto al resto de subvenciones</w:t>
      </w:r>
      <w:r>
        <w:rPr>
          <w:rFonts w:eastAsia="Times New Roman" w:cstheme="minorHAnsi"/>
          <w:lang w:eastAsia="es-ES"/>
        </w:rPr>
        <w:t>.</w:t>
      </w:r>
    </w:p>
    <w:p w14:paraId="24C80956" w14:textId="16344652" w:rsidR="00E435BC" w:rsidRPr="007C408D" w:rsidRDefault="006B0E98" w:rsidP="00E435BC">
      <w:pPr>
        <w:spacing w:after="0" w:line="240" w:lineRule="auto"/>
        <w:jc w:val="both"/>
        <w:rPr>
          <w:rFonts w:ascii="Calibri" w:eastAsia="Times New Roman" w:hAnsi="Calibri" w:cs="Calibri"/>
          <w:lang w:val="es-ES_tradnl" w:eastAsia="es-ES"/>
        </w:rPr>
      </w:pPr>
      <w:r>
        <w:rPr>
          <w:rFonts w:ascii="Calibri" w:eastAsia="Times New Roman" w:hAnsi="Calibri" w:cs="Calibri"/>
          <w:lang w:val="es-ES_tradnl" w:eastAsia="es-ES"/>
        </w:rPr>
        <w:t>Respecto de los trámites evacuados en la elaboración de la norma:</w:t>
      </w:r>
    </w:p>
    <w:p w14:paraId="291AEB9B"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52E2C7D7" w14:textId="005A4149" w:rsidR="000A0A4E" w:rsidRPr="000A0A4E" w:rsidRDefault="000A0A4E" w:rsidP="000A0A4E">
      <w:pPr>
        <w:pStyle w:val="Prrafodelista"/>
        <w:numPr>
          <w:ilvl w:val="0"/>
          <w:numId w:val="32"/>
        </w:numPr>
        <w:jc w:val="both"/>
        <w:rPr>
          <w:rFonts w:ascii="Calibri" w:eastAsia="Times New Roman" w:hAnsi="Calibri" w:cs="Calibri"/>
          <w:lang w:val="es-ES_tradnl" w:eastAsia="es-ES"/>
        </w:rPr>
      </w:pPr>
      <w:r w:rsidRPr="000A0A4E">
        <w:rPr>
          <w:rFonts w:ascii="Calibri" w:eastAsia="Times New Roman" w:hAnsi="Calibri" w:cs="Calibri"/>
          <w:lang w:val="es-ES_tradnl" w:eastAsia="es-ES"/>
        </w:rPr>
        <w:t xml:space="preserve">Se </w:t>
      </w:r>
      <w:r w:rsidR="00F77DB0">
        <w:rPr>
          <w:rFonts w:ascii="Calibri" w:eastAsia="Times New Roman" w:hAnsi="Calibri" w:cs="Calibri"/>
          <w:lang w:val="es-ES_tradnl" w:eastAsia="es-ES"/>
        </w:rPr>
        <w:t>ha recabado</w:t>
      </w:r>
      <w:r w:rsidRPr="000A0A4E">
        <w:rPr>
          <w:rFonts w:ascii="Calibri" w:eastAsia="Times New Roman" w:hAnsi="Calibri" w:cs="Calibri"/>
          <w:lang w:val="es-ES_tradnl" w:eastAsia="es-ES"/>
        </w:rPr>
        <w:t xml:space="preserve"> el informe de la </w:t>
      </w:r>
      <w:r w:rsidRPr="000A0A4E">
        <w:rPr>
          <w:rFonts w:ascii="Calibri" w:eastAsia="Times New Roman" w:hAnsi="Calibri" w:cs="Calibri"/>
          <w:b/>
          <w:bCs/>
          <w:lang w:val="es-ES_tradnl" w:eastAsia="es-ES"/>
        </w:rPr>
        <w:t>Abogacía del Estado</w:t>
      </w:r>
      <w:r w:rsidRPr="000A0A4E">
        <w:rPr>
          <w:rFonts w:ascii="Calibri" w:eastAsia="Times New Roman" w:hAnsi="Calibri" w:cs="Calibri"/>
          <w:lang w:val="es-ES_tradnl" w:eastAsia="es-ES"/>
        </w:rPr>
        <w:t xml:space="preserve"> en el Departamento con cargo al artículo 26.5, párrafo primero, de la Ley 50/1997, de 27 de noviembre, del Gobierno</w:t>
      </w:r>
      <w:r w:rsidR="00F77DB0">
        <w:rPr>
          <w:rFonts w:ascii="Calibri" w:eastAsia="Times New Roman" w:hAnsi="Calibri" w:cs="Calibri"/>
          <w:lang w:val="es-ES_tradnl" w:eastAsia="es-ES"/>
        </w:rPr>
        <w:t>.</w:t>
      </w:r>
      <w:r w:rsidRPr="000A0A4E">
        <w:rPr>
          <w:rFonts w:ascii="Calibri" w:eastAsia="Times New Roman" w:hAnsi="Calibri" w:cs="Calibri"/>
          <w:lang w:val="es-ES_tradnl" w:eastAsia="es-ES"/>
        </w:rPr>
        <w:t xml:space="preserve"> </w:t>
      </w:r>
    </w:p>
    <w:p w14:paraId="61197525" w14:textId="77777777" w:rsidR="000A0A4E" w:rsidRPr="000A0A4E" w:rsidRDefault="000A0A4E" w:rsidP="000A0A4E">
      <w:pPr>
        <w:pStyle w:val="Prrafodelista"/>
        <w:jc w:val="both"/>
        <w:rPr>
          <w:rFonts w:ascii="Calibri" w:eastAsia="Times New Roman" w:hAnsi="Calibri" w:cs="Calibri"/>
          <w:lang w:val="es-ES_tradnl" w:eastAsia="es-ES"/>
        </w:rPr>
      </w:pPr>
    </w:p>
    <w:p w14:paraId="29084DD2" w14:textId="64997914" w:rsidR="000A0A4E" w:rsidRPr="000A0A4E" w:rsidRDefault="000A0A4E" w:rsidP="000A0A4E">
      <w:pPr>
        <w:pStyle w:val="Prrafodelista"/>
        <w:numPr>
          <w:ilvl w:val="0"/>
          <w:numId w:val="32"/>
        </w:numPr>
        <w:jc w:val="both"/>
        <w:rPr>
          <w:rFonts w:ascii="Calibri" w:eastAsia="Times New Roman" w:hAnsi="Calibri" w:cs="Calibri"/>
          <w:lang w:val="es-ES_tradnl" w:eastAsia="es-ES"/>
        </w:rPr>
      </w:pPr>
      <w:r w:rsidRPr="000A0A4E">
        <w:rPr>
          <w:rFonts w:ascii="Calibri" w:eastAsia="Times New Roman" w:hAnsi="Calibri" w:cs="Calibri"/>
          <w:lang w:val="es-ES_tradnl" w:eastAsia="es-ES"/>
        </w:rPr>
        <w:t xml:space="preserve">De conformidad con lo establecido en el artículo 26.9 de la Ley 50/1997, </w:t>
      </w:r>
      <w:r w:rsidRPr="000A0A4E">
        <w:rPr>
          <w:rFonts w:ascii="Calibri" w:eastAsia="Times New Roman" w:hAnsi="Calibri" w:cs="Calibri"/>
          <w:bCs/>
          <w:lang w:val="es-ES_tradnl" w:eastAsia="es-ES"/>
        </w:rPr>
        <w:t>de 27 de noviembre, del Gobierno</w:t>
      </w:r>
      <w:r w:rsidRPr="000A0A4E">
        <w:rPr>
          <w:rFonts w:ascii="Calibri" w:eastAsia="Times New Roman" w:hAnsi="Calibri" w:cs="Calibri"/>
          <w:lang w:val="es-ES_tradnl" w:eastAsia="es-ES"/>
        </w:rPr>
        <w:t xml:space="preserve">, </w:t>
      </w:r>
      <w:r>
        <w:rPr>
          <w:rFonts w:ascii="Calibri" w:eastAsia="Times New Roman" w:hAnsi="Calibri" w:cs="Calibri"/>
          <w:lang w:val="es-ES_tradnl" w:eastAsia="es-ES"/>
        </w:rPr>
        <w:t xml:space="preserve">se </w:t>
      </w:r>
      <w:r w:rsidR="00F77DB0">
        <w:rPr>
          <w:rFonts w:ascii="Calibri" w:eastAsia="Times New Roman" w:hAnsi="Calibri" w:cs="Calibri"/>
          <w:lang w:val="es-ES_tradnl" w:eastAsia="es-ES"/>
        </w:rPr>
        <w:t>ha recabado</w:t>
      </w:r>
      <w:r w:rsidRPr="000A0A4E">
        <w:rPr>
          <w:rFonts w:ascii="Calibri" w:eastAsia="Times New Roman" w:hAnsi="Calibri" w:cs="Calibri"/>
          <w:lang w:val="es-ES_tradnl" w:eastAsia="es-ES"/>
        </w:rPr>
        <w:t xml:space="preserve"> informe de la </w:t>
      </w:r>
      <w:r w:rsidRPr="000A0A4E">
        <w:rPr>
          <w:rFonts w:ascii="Calibri" w:eastAsia="Times New Roman" w:hAnsi="Calibri" w:cs="Calibri"/>
          <w:b/>
          <w:lang w:val="es-ES_tradnl" w:eastAsia="es-ES"/>
        </w:rPr>
        <w:t>Oficina de Coordinación y Calidad Normativa</w:t>
      </w:r>
      <w:r w:rsidRPr="000A0A4E">
        <w:rPr>
          <w:rFonts w:ascii="Calibri" w:eastAsia="Times New Roman" w:hAnsi="Calibri" w:cs="Calibri"/>
          <w:lang w:val="es-ES_tradnl" w:eastAsia="es-ES"/>
        </w:rPr>
        <w:t xml:space="preserve"> del Ministerio de la Presidencia, Justicia y Relaciones con las Cortes.</w:t>
      </w:r>
    </w:p>
    <w:p w14:paraId="3E9E4A75" w14:textId="77777777" w:rsidR="000A0A4E" w:rsidRPr="000A0A4E" w:rsidRDefault="000A0A4E" w:rsidP="000A0A4E">
      <w:pPr>
        <w:pStyle w:val="Prrafodelista"/>
        <w:jc w:val="both"/>
        <w:rPr>
          <w:rFonts w:ascii="Calibri" w:eastAsia="Times New Roman" w:hAnsi="Calibri" w:cs="Calibri"/>
          <w:lang w:val="es-ES_tradnl" w:eastAsia="es-ES"/>
        </w:rPr>
      </w:pPr>
    </w:p>
    <w:p w14:paraId="599B3AD3" w14:textId="50D9FF2A" w:rsidR="000A0A4E" w:rsidRPr="000A0A4E" w:rsidRDefault="000A0A4E" w:rsidP="000A0A4E">
      <w:pPr>
        <w:pStyle w:val="Prrafodelista"/>
        <w:numPr>
          <w:ilvl w:val="0"/>
          <w:numId w:val="32"/>
        </w:numPr>
        <w:jc w:val="both"/>
        <w:rPr>
          <w:rFonts w:ascii="Calibri" w:eastAsia="Times New Roman" w:hAnsi="Calibri" w:cs="Calibri"/>
          <w:lang w:val="es-ES_tradnl" w:eastAsia="es-ES"/>
        </w:rPr>
      </w:pPr>
      <w:r w:rsidRPr="000A0A4E">
        <w:rPr>
          <w:rFonts w:ascii="Calibri" w:eastAsia="Times New Roman" w:hAnsi="Calibri" w:cs="Calibri"/>
          <w:lang w:val="es-ES_tradnl" w:eastAsia="es-ES"/>
        </w:rPr>
        <w:lastRenderedPageBreak/>
        <w:t xml:space="preserve">De igual manera, y de acuerdo con lo establecido en el artículo 28.2 de la Ley 38/2003, de 17 de noviembre, General de Subvenciones, se </w:t>
      </w:r>
      <w:r w:rsidR="00F77DB0">
        <w:rPr>
          <w:rFonts w:ascii="Calibri" w:eastAsia="Times New Roman" w:hAnsi="Calibri" w:cs="Calibri"/>
          <w:lang w:val="es-ES_tradnl" w:eastAsia="es-ES"/>
        </w:rPr>
        <w:t>ha recabado</w:t>
      </w:r>
      <w:r w:rsidRPr="00A35D79">
        <w:rPr>
          <w:rFonts w:ascii="Calibri" w:eastAsia="Times New Roman" w:hAnsi="Calibri" w:cs="Calibri"/>
          <w:lang w:val="es-ES_tradnl" w:eastAsia="es-ES"/>
        </w:rPr>
        <w:t xml:space="preserve"> el informe preceptivo del</w:t>
      </w:r>
      <w:r w:rsidRPr="000A0A4E">
        <w:rPr>
          <w:rFonts w:ascii="Calibri" w:eastAsia="Times New Roman" w:hAnsi="Calibri" w:cs="Calibri"/>
          <w:b/>
          <w:lang w:val="es-ES_tradnl" w:eastAsia="es-ES"/>
        </w:rPr>
        <w:t xml:space="preserve"> Ministerio de Hacienda</w:t>
      </w:r>
      <w:r w:rsidRPr="000A0A4E">
        <w:rPr>
          <w:rFonts w:ascii="Calibri" w:eastAsia="Times New Roman" w:hAnsi="Calibri" w:cs="Calibri"/>
          <w:lang w:val="es-ES_tradnl" w:eastAsia="es-ES"/>
        </w:rPr>
        <w:t>.</w:t>
      </w:r>
    </w:p>
    <w:p w14:paraId="332CA611" w14:textId="77777777" w:rsidR="000A0A4E" w:rsidRPr="000A0A4E" w:rsidRDefault="000A0A4E" w:rsidP="000A0A4E">
      <w:pPr>
        <w:pStyle w:val="Prrafodelista"/>
        <w:jc w:val="both"/>
        <w:rPr>
          <w:rFonts w:ascii="Calibri" w:eastAsia="Times New Roman" w:hAnsi="Calibri" w:cs="Calibri"/>
          <w:lang w:val="es-ES_tradnl" w:eastAsia="es-ES"/>
        </w:rPr>
      </w:pPr>
    </w:p>
    <w:p w14:paraId="52EBA5DA" w14:textId="168A14C8" w:rsidR="000A0A4E" w:rsidRPr="000A0A4E" w:rsidRDefault="00F77DB0" w:rsidP="000A0A4E">
      <w:pPr>
        <w:pStyle w:val="Prrafodelista"/>
        <w:numPr>
          <w:ilvl w:val="0"/>
          <w:numId w:val="32"/>
        </w:numPr>
        <w:jc w:val="both"/>
        <w:rPr>
          <w:rFonts w:ascii="Calibri" w:eastAsia="Times New Roman" w:hAnsi="Calibri" w:cs="Calibri"/>
          <w:lang w:val="es-ES_tradnl" w:eastAsia="es-ES"/>
        </w:rPr>
      </w:pPr>
      <w:r>
        <w:rPr>
          <w:rFonts w:ascii="Calibri" w:eastAsia="Times New Roman" w:hAnsi="Calibri" w:cs="Calibri"/>
          <w:lang w:val="es-ES_tradnl" w:eastAsia="es-ES"/>
        </w:rPr>
        <w:t>Se ha recabado</w:t>
      </w:r>
      <w:r w:rsidR="000A0A4E" w:rsidRPr="000A0A4E">
        <w:rPr>
          <w:rFonts w:ascii="Calibri" w:eastAsia="Times New Roman" w:hAnsi="Calibri" w:cs="Calibri"/>
          <w:lang w:val="es-ES_tradnl" w:eastAsia="es-ES"/>
        </w:rPr>
        <w:t xml:space="preserve"> informe de la </w:t>
      </w:r>
      <w:r w:rsidR="000A0A4E" w:rsidRPr="000A0A4E">
        <w:rPr>
          <w:rFonts w:ascii="Calibri" w:eastAsia="Times New Roman" w:hAnsi="Calibri" w:cs="Calibri"/>
          <w:b/>
          <w:lang w:val="es-ES_tradnl" w:eastAsia="es-ES"/>
        </w:rPr>
        <w:t>Secretaría General Técnica del Ministerio de Ciencia, Innovación y Universidades</w:t>
      </w:r>
      <w:r w:rsidR="000A0A4E" w:rsidRPr="000A0A4E">
        <w:rPr>
          <w:rFonts w:ascii="Calibri" w:eastAsia="Times New Roman" w:hAnsi="Calibri" w:cs="Calibri"/>
          <w:lang w:val="es-ES_tradnl" w:eastAsia="es-ES"/>
        </w:rPr>
        <w:t xml:space="preserve">, como departamento proponente de la norma, de acuerdo con el artículo 26.5, párrafo cuarto, de la Ley 50/1997, de 27 de noviembre. </w:t>
      </w:r>
    </w:p>
    <w:p w14:paraId="35468792" w14:textId="77777777" w:rsidR="000A0A4E" w:rsidRPr="000A0A4E" w:rsidRDefault="000A0A4E" w:rsidP="000A0A4E">
      <w:pPr>
        <w:pStyle w:val="Prrafodelista"/>
        <w:jc w:val="both"/>
        <w:rPr>
          <w:rFonts w:ascii="Calibri" w:eastAsia="Times New Roman" w:hAnsi="Calibri" w:cs="Calibri"/>
          <w:lang w:val="es-ES_tradnl" w:eastAsia="es-ES"/>
        </w:rPr>
      </w:pPr>
    </w:p>
    <w:p w14:paraId="6DCBAAAD" w14:textId="11ECCEB3" w:rsidR="000A0A4E" w:rsidRPr="000A0A4E" w:rsidRDefault="000A0A4E" w:rsidP="000A0A4E">
      <w:pPr>
        <w:pStyle w:val="Prrafodelista"/>
        <w:numPr>
          <w:ilvl w:val="0"/>
          <w:numId w:val="32"/>
        </w:numPr>
        <w:jc w:val="both"/>
        <w:rPr>
          <w:rFonts w:ascii="Calibri" w:eastAsia="Times New Roman" w:hAnsi="Calibri" w:cs="Calibri"/>
          <w:lang w:val="es-ES_tradnl" w:eastAsia="es-ES"/>
        </w:rPr>
      </w:pPr>
      <w:r w:rsidRPr="000A0A4E">
        <w:rPr>
          <w:rFonts w:ascii="Calibri" w:eastAsia="Times New Roman" w:hAnsi="Calibri" w:cs="Calibri"/>
          <w:lang w:val="es-ES_tradnl" w:eastAsia="es-ES"/>
        </w:rPr>
        <w:t xml:space="preserve">Se </w:t>
      </w:r>
      <w:r w:rsidR="00F77DB0">
        <w:rPr>
          <w:rFonts w:ascii="Calibri" w:eastAsia="Times New Roman" w:hAnsi="Calibri" w:cs="Calibri"/>
          <w:lang w:val="es-ES_tradnl" w:eastAsia="es-ES"/>
        </w:rPr>
        <w:t>ha solicitado</w:t>
      </w:r>
      <w:r w:rsidRPr="00A35D79">
        <w:rPr>
          <w:rFonts w:ascii="Calibri" w:eastAsia="Times New Roman" w:hAnsi="Calibri" w:cs="Calibri"/>
          <w:lang w:val="es-ES_tradnl" w:eastAsia="es-ES"/>
        </w:rPr>
        <w:t xml:space="preserve"> la aprobación previa del</w:t>
      </w:r>
      <w:r w:rsidRPr="00A35D79">
        <w:rPr>
          <w:rFonts w:ascii="Calibri" w:eastAsia="Times New Roman" w:hAnsi="Calibri" w:cs="Calibri"/>
          <w:b/>
          <w:bCs/>
          <w:lang w:val="es-ES_tradnl" w:eastAsia="es-ES"/>
        </w:rPr>
        <w:t xml:space="preserve"> Ministerio para la Transformación Digital y de la Función Pública</w:t>
      </w:r>
      <w:r w:rsidRPr="000A0A4E">
        <w:rPr>
          <w:rFonts w:ascii="Calibri" w:eastAsia="Times New Roman" w:hAnsi="Calibri" w:cs="Calibri"/>
          <w:lang w:val="es-ES_tradnl" w:eastAsia="es-ES"/>
        </w:rPr>
        <w:t>, de acuerdo al artículo 26.5, párrafo quinto, de la Ley 50/1997, de 27 de noviembre.</w:t>
      </w:r>
    </w:p>
    <w:p w14:paraId="395FA95B" w14:textId="77777777" w:rsidR="000A0A4E" w:rsidRPr="000A0A4E" w:rsidRDefault="000A0A4E" w:rsidP="000A0A4E">
      <w:pPr>
        <w:pStyle w:val="Prrafodelista"/>
        <w:jc w:val="both"/>
        <w:rPr>
          <w:rFonts w:ascii="Calibri" w:eastAsia="Times New Roman" w:hAnsi="Calibri" w:cs="Calibri"/>
          <w:lang w:val="es-ES_tradnl" w:eastAsia="es-ES"/>
        </w:rPr>
      </w:pPr>
    </w:p>
    <w:p w14:paraId="0D236956" w14:textId="3FE85AA2" w:rsidR="000A0A4E" w:rsidRPr="000A0A4E" w:rsidRDefault="000A0A4E" w:rsidP="000A0A4E">
      <w:pPr>
        <w:pStyle w:val="Prrafodelista"/>
        <w:numPr>
          <w:ilvl w:val="0"/>
          <w:numId w:val="32"/>
        </w:numPr>
        <w:jc w:val="both"/>
        <w:rPr>
          <w:rFonts w:ascii="Calibri" w:eastAsia="Times New Roman" w:hAnsi="Calibri" w:cs="Calibri"/>
          <w:lang w:val="es-ES_tradnl" w:eastAsia="es-ES"/>
        </w:rPr>
      </w:pPr>
      <w:r w:rsidRPr="000A0A4E">
        <w:rPr>
          <w:rFonts w:ascii="Calibri" w:eastAsia="Times New Roman" w:hAnsi="Calibri" w:cs="Calibri"/>
          <w:lang w:val="es-ES_tradnl" w:eastAsia="es-ES"/>
        </w:rPr>
        <w:t xml:space="preserve">Se </w:t>
      </w:r>
      <w:r>
        <w:rPr>
          <w:rFonts w:ascii="Calibri" w:eastAsia="Times New Roman" w:hAnsi="Calibri" w:cs="Calibri"/>
          <w:lang w:val="es-ES_tradnl" w:eastAsia="es-ES"/>
        </w:rPr>
        <w:t>somete</w:t>
      </w:r>
      <w:r w:rsidRPr="000A0A4E">
        <w:rPr>
          <w:rFonts w:ascii="Calibri" w:eastAsia="Times New Roman" w:hAnsi="Calibri" w:cs="Calibri"/>
          <w:lang w:val="es-ES_tradnl" w:eastAsia="es-ES"/>
        </w:rPr>
        <w:t xml:space="preserve"> el proyecto al normativo al trámite de </w:t>
      </w:r>
      <w:r w:rsidRPr="000A0A4E">
        <w:rPr>
          <w:rFonts w:ascii="Calibri" w:eastAsia="Times New Roman" w:hAnsi="Calibri" w:cs="Calibri"/>
          <w:b/>
          <w:lang w:val="es-ES_tradnl" w:eastAsia="es-ES"/>
        </w:rPr>
        <w:t xml:space="preserve">audiencia e información pública, </w:t>
      </w:r>
      <w:r w:rsidRPr="000A0A4E">
        <w:rPr>
          <w:rFonts w:ascii="Calibri" w:eastAsia="Times New Roman" w:hAnsi="Calibri" w:cs="Calibri"/>
          <w:lang w:val="es-ES_tradnl" w:eastAsia="es-ES"/>
        </w:rPr>
        <w:t xml:space="preserve">de acuerdo con lo exigido en el artículo 26.6 de la Ley 50/1997, de 27 de noviembre, </w:t>
      </w:r>
      <w:bookmarkStart w:id="4" w:name="_Hlk163563950"/>
      <w:r w:rsidRPr="000A0A4E">
        <w:rPr>
          <w:rFonts w:ascii="Calibri" w:eastAsia="Times New Roman" w:hAnsi="Calibri" w:cs="Calibri"/>
          <w:lang w:val="es-ES_tradnl" w:eastAsia="es-ES"/>
        </w:rPr>
        <w:t xml:space="preserve">entre el </w:t>
      </w:r>
      <w:bookmarkEnd w:id="4"/>
      <w:r w:rsidR="00F77DB0">
        <w:rPr>
          <w:rFonts w:ascii="Calibri" w:eastAsia="Times New Roman" w:hAnsi="Calibri" w:cs="Calibri"/>
          <w:lang w:val="es-ES_tradnl" w:eastAsia="es-ES"/>
        </w:rPr>
        <w:t>3 y el 24 de octubre de 2025</w:t>
      </w:r>
      <w:r w:rsidRPr="000A0A4E">
        <w:rPr>
          <w:rFonts w:ascii="Calibri" w:eastAsia="Times New Roman" w:hAnsi="Calibri" w:cs="Calibri"/>
          <w:lang w:val="es-ES_tradnl" w:eastAsia="es-ES"/>
        </w:rPr>
        <w:t>.</w:t>
      </w:r>
    </w:p>
    <w:p w14:paraId="144BA3DC" w14:textId="77777777" w:rsidR="008C7D3C" w:rsidRDefault="008C7D3C" w:rsidP="008C7D3C">
      <w:pPr>
        <w:pStyle w:val="Prrafodelista"/>
        <w:rPr>
          <w:rFonts w:ascii="Calibri" w:eastAsia="Times New Roman" w:hAnsi="Calibri" w:cs="Calibri"/>
          <w:color w:val="808080" w:themeColor="background1" w:themeShade="80"/>
          <w:lang w:val="es-ES_tradnl" w:eastAsia="es-ES"/>
        </w:rPr>
      </w:pPr>
    </w:p>
    <w:p w14:paraId="3E5314A4" w14:textId="77777777" w:rsidR="008C7D3C" w:rsidRPr="008C7D3C" w:rsidRDefault="008C7D3C" w:rsidP="008C7D3C">
      <w:pPr>
        <w:spacing w:after="0" w:line="240" w:lineRule="auto"/>
        <w:ind w:left="720"/>
        <w:jc w:val="both"/>
        <w:rPr>
          <w:rFonts w:ascii="Calibri" w:eastAsia="Times New Roman" w:hAnsi="Calibri" w:cs="Calibri"/>
          <w:color w:val="808080" w:themeColor="background1" w:themeShade="80"/>
          <w:lang w:val="es-ES_tradnl" w:eastAsia="es-ES"/>
        </w:rPr>
      </w:pPr>
    </w:p>
    <w:p w14:paraId="2E91B9AD" w14:textId="2B94592C" w:rsidR="00E435BC" w:rsidRPr="009A2928" w:rsidRDefault="00E435BC" w:rsidP="00E435BC">
      <w:pPr>
        <w:spacing w:after="0" w:line="240" w:lineRule="auto"/>
        <w:jc w:val="both"/>
        <w:rPr>
          <w:rFonts w:ascii="Calibri" w:eastAsia="Times New Roman" w:hAnsi="Calibri" w:cs="Calibri"/>
          <w:b/>
          <w:lang w:val="es-ES_tradnl" w:eastAsia="es-ES"/>
        </w:rPr>
      </w:pPr>
      <w:r w:rsidRPr="009A2928">
        <w:rPr>
          <w:rFonts w:ascii="Calibri" w:eastAsia="Times New Roman" w:hAnsi="Calibri" w:cs="Calibri"/>
          <w:b/>
          <w:lang w:val="es-ES_tradnl" w:eastAsia="es-ES"/>
        </w:rPr>
        <w:t>VI</w:t>
      </w:r>
      <w:r w:rsidR="00A0760D">
        <w:rPr>
          <w:rFonts w:ascii="Calibri" w:eastAsia="Times New Roman" w:hAnsi="Calibri" w:cs="Calibri"/>
          <w:b/>
          <w:lang w:val="es-ES_tradnl" w:eastAsia="es-ES"/>
        </w:rPr>
        <w:t>I</w:t>
      </w:r>
      <w:r w:rsidRPr="009A2928">
        <w:rPr>
          <w:rFonts w:ascii="Calibri" w:eastAsia="Times New Roman" w:hAnsi="Calibri" w:cs="Calibri"/>
          <w:b/>
          <w:lang w:val="es-ES_tradnl" w:eastAsia="es-ES"/>
        </w:rPr>
        <w:t>. ANÁLISIS DE IMPACTOS</w:t>
      </w:r>
    </w:p>
    <w:p w14:paraId="278CED74" w14:textId="77777777" w:rsidR="00E435BC" w:rsidRPr="009A2928" w:rsidRDefault="00E435BC" w:rsidP="00E435BC">
      <w:pPr>
        <w:spacing w:after="0" w:line="240" w:lineRule="auto"/>
        <w:jc w:val="both"/>
        <w:rPr>
          <w:rFonts w:ascii="Calibri" w:eastAsia="Times New Roman" w:hAnsi="Calibri" w:cs="Calibri"/>
          <w:lang w:val="es-ES_tradnl" w:eastAsia="es-ES"/>
        </w:rPr>
      </w:pPr>
    </w:p>
    <w:p w14:paraId="647E392E" w14:textId="54FC029E" w:rsidR="00E435BC" w:rsidRPr="00D9085B" w:rsidRDefault="00E435BC" w:rsidP="00D9085B">
      <w:pPr>
        <w:pStyle w:val="Prrafodelista"/>
        <w:widowControl w:val="0"/>
        <w:numPr>
          <w:ilvl w:val="0"/>
          <w:numId w:val="25"/>
        </w:numPr>
        <w:shd w:val="clear" w:color="auto" w:fill="FFFFFF"/>
        <w:tabs>
          <w:tab w:val="left" w:pos="0"/>
        </w:tabs>
        <w:spacing w:after="0" w:line="240" w:lineRule="auto"/>
        <w:ind w:right="310"/>
        <w:jc w:val="both"/>
        <w:rPr>
          <w:rFonts w:ascii="Calibri" w:eastAsia="Times New Roman" w:hAnsi="Calibri" w:cs="Calibri"/>
          <w:b/>
          <w:spacing w:val="6"/>
          <w:lang w:val="es-ES_tradnl" w:eastAsia="es-ES"/>
        </w:rPr>
      </w:pPr>
      <w:r w:rsidRPr="00D9085B">
        <w:rPr>
          <w:rFonts w:ascii="Calibri" w:eastAsia="Times New Roman" w:hAnsi="Calibri" w:cs="Calibri"/>
          <w:b/>
          <w:spacing w:val="6"/>
          <w:lang w:val="es-ES_tradnl" w:eastAsia="es-ES"/>
        </w:rPr>
        <w:t>Impacto económico (competencia).</w:t>
      </w:r>
    </w:p>
    <w:p w14:paraId="596482D6" w14:textId="77777777" w:rsidR="00E435BC" w:rsidRPr="009A2928" w:rsidRDefault="00E435BC" w:rsidP="00E435BC">
      <w:pPr>
        <w:spacing w:after="0" w:line="240" w:lineRule="auto"/>
        <w:jc w:val="both"/>
        <w:rPr>
          <w:rFonts w:ascii="Calibri" w:eastAsia="Times New Roman" w:hAnsi="Calibri" w:cs="Calibri"/>
          <w:lang w:val="es-ES_tradnl" w:eastAsia="es-ES"/>
        </w:rPr>
      </w:pPr>
    </w:p>
    <w:p w14:paraId="2ABD4BC7" w14:textId="6CFE0028" w:rsidR="00F47526" w:rsidRDefault="00F47526" w:rsidP="00F47526">
      <w:pPr>
        <w:jc w:val="both"/>
      </w:pPr>
      <w:r w:rsidRPr="00F47526">
        <w:t>Las ayudas que se pretenden conceder a través del real decreto objeto de esta memoria pueden tener un impacto significativo en la economía</w:t>
      </w:r>
      <w:r>
        <w:t xml:space="preserve"> en tanto que </w:t>
      </w:r>
      <w:r w:rsidRPr="00F47526">
        <w:t>se concederán con el fin de</w:t>
      </w:r>
      <w:r w:rsidR="00647E49">
        <w:t xml:space="preserve">l </w:t>
      </w:r>
      <w:r w:rsidR="00647E49" w:rsidRPr="00647E49">
        <w:t xml:space="preserve">desarrollo de actuaciones por </w:t>
      </w:r>
      <w:r w:rsidR="006C65AD">
        <w:t>entidades</w:t>
      </w:r>
      <w:r w:rsidR="008C7D3C">
        <w:t xml:space="preserve"> </w:t>
      </w:r>
      <w:r w:rsidR="00647E49" w:rsidRPr="00647E49">
        <w:t>que persiguen objetivos de interés general para el sistema español de ciencia y tecnología y enlazan con objetivos estratégicos marcados por la Estrategia Española de Ciencia, Tecnología e Innovación (EECTI) 2021-2027</w:t>
      </w:r>
      <w:r w:rsidR="000A0A4E">
        <w:t>.</w:t>
      </w:r>
    </w:p>
    <w:p w14:paraId="0651C148" w14:textId="77777777" w:rsidR="00E435BC" w:rsidRPr="009A2928" w:rsidRDefault="00E435BC" w:rsidP="00E435BC">
      <w:pPr>
        <w:spacing w:after="0" w:line="240" w:lineRule="auto"/>
        <w:jc w:val="both"/>
        <w:rPr>
          <w:rFonts w:ascii="Calibri" w:eastAsia="Times New Roman" w:hAnsi="Calibri" w:cs="Calibri"/>
          <w:lang w:val="es-ES_tradnl" w:eastAsia="es-ES"/>
        </w:rPr>
      </w:pPr>
    </w:p>
    <w:p w14:paraId="09708ECC" w14:textId="77777777" w:rsidR="00E435BC" w:rsidRPr="009A2928" w:rsidRDefault="00E435BC" w:rsidP="00E435BC">
      <w:pPr>
        <w:widowControl w:val="0"/>
        <w:numPr>
          <w:ilvl w:val="0"/>
          <w:numId w:val="4"/>
        </w:numPr>
        <w:shd w:val="clear" w:color="auto" w:fill="FFFFFF"/>
        <w:tabs>
          <w:tab w:val="left" w:pos="0"/>
        </w:tabs>
        <w:spacing w:after="0" w:line="240" w:lineRule="auto"/>
        <w:ind w:right="310"/>
        <w:jc w:val="both"/>
        <w:rPr>
          <w:rFonts w:ascii="Calibri" w:eastAsia="Times New Roman" w:hAnsi="Calibri" w:cs="Calibri"/>
          <w:b/>
          <w:spacing w:val="6"/>
          <w:lang w:val="es-ES_tradnl" w:eastAsia="es-ES"/>
        </w:rPr>
      </w:pPr>
      <w:r w:rsidRPr="009A2928">
        <w:rPr>
          <w:rFonts w:ascii="Calibri" w:eastAsia="Times New Roman" w:hAnsi="Calibri" w:cs="Calibri"/>
          <w:b/>
          <w:spacing w:val="6"/>
          <w:lang w:val="es-ES_tradnl" w:eastAsia="es-ES"/>
        </w:rPr>
        <w:t>Impacto presupuestario.</w:t>
      </w:r>
    </w:p>
    <w:p w14:paraId="3E22DEF5" w14:textId="77777777" w:rsidR="00E435BC" w:rsidRPr="009A2928" w:rsidRDefault="00E435BC" w:rsidP="00E435BC">
      <w:pPr>
        <w:spacing w:after="0" w:line="240" w:lineRule="auto"/>
        <w:jc w:val="both"/>
        <w:rPr>
          <w:rFonts w:ascii="Calibri" w:eastAsia="Times New Roman" w:hAnsi="Calibri" w:cs="Calibri"/>
          <w:lang w:val="es-ES_tradnl" w:eastAsia="es-ES"/>
        </w:rPr>
      </w:pPr>
    </w:p>
    <w:p w14:paraId="269DE32E" w14:textId="0A202066" w:rsidR="008E3800" w:rsidRPr="000A0A4E" w:rsidRDefault="006341B1" w:rsidP="007C408D">
      <w:pPr>
        <w:spacing w:after="0" w:line="240" w:lineRule="auto"/>
        <w:jc w:val="both"/>
        <w:rPr>
          <w:rFonts w:ascii="Calibri" w:eastAsia="Times New Roman" w:hAnsi="Calibri" w:cs="Calibri"/>
          <w:color w:val="000000" w:themeColor="text1"/>
          <w:lang w:val="es-ES_tradnl" w:eastAsia="es-ES"/>
        </w:rPr>
      </w:pPr>
      <w:r w:rsidRPr="000A0A4E">
        <w:rPr>
          <w:rFonts w:ascii="Calibri" w:eastAsia="Times New Roman" w:hAnsi="Calibri" w:cs="Calibri"/>
          <w:color w:val="000000" w:themeColor="text1"/>
          <w:lang w:val="es-ES_tradnl" w:eastAsia="es-ES"/>
        </w:rPr>
        <w:t>El importe máximo de las subvenciones directas que se concedan con arreglo a lo dispuesto en este real decreto</w:t>
      </w:r>
      <w:r w:rsidR="00C80600" w:rsidRPr="000A0A4E">
        <w:rPr>
          <w:rFonts w:ascii="Calibri" w:eastAsia="Times New Roman" w:hAnsi="Calibri" w:cs="Calibri"/>
          <w:color w:val="000000" w:themeColor="text1"/>
          <w:lang w:val="es-ES_tradnl" w:eastAsia="es-ES"/>
        </w:rPr>
        <w:t xml:space="preserve"> será de </w:t>
      </w:r>
      <w:r w:rsidR="00E80912">
        <w:rPr>
          <w:rFonts w:ascii="Calibri" w:eastAsia="Times New Roman" w:hAnsi="Calibri" w:cs="Calibri"/>
          <w:color w:val="000000" w:themeColor="text1"/>
          <w:lang w:val="es-ES_tradnl" w:eastAsia="es-ES"/>
        </w:rPr>
        <w:t>2</w:t>
      </w:r>
      <w:r w:rsidR="00504E7D">
        <w:rPr>
          <w:rFonts w:ascii="Calibri" w:eastAsia="Times New Roman" w:hAnsi="Calibri" w:cs="Calibri"/>
          <w:color w:val="000000" w:themeColor="text1"/>
          <w:lang w:val="es-ES_tradnl" w:eastAsia="es-ES"/>
        </w:rPr>
        <w:t>.</w:t>
      </w:r>
      <w:r w:rsidR="00E80912">
        <w:rPr>
          <w:rFonts w:ascii="Calibri" w:eastAsia="Times New Roman" w:hAnsi="Calibri" w:cs="Calibri"/>
          <w:color w:val="000000" w:themeColor="text1"/>
          <w:lang w:val="es-ES_tradnl" w:eastAsia="es-ES"/>
        </w:rPr>
        <w:t>096</w:t>
      </w:r>
      <w:r w:rsidR="00504E7D">
        <w:rPr>
          <w:rFonts w:ascii="Calibri" w:eastAsia="Times New Roman" w:hAnsi="Calibri" w:cs="Calibri"/>
          <w:color w:val="000000" w:themeColor="text1"/>
          <w:lang w:val="es-ES_tradnl" w:eastAsia="es-ES"/>
        </w:rPr>
        <w:t xml:space="preserve">.000 </w:t>
      </w:r>
      <w:r w:rsidR="00C80600" w:rsidRPr="000A0A4E">
        <w:rPr>
          <w:rFonts w:ascii="Calibri" w:eastAsia="Times New Roman" w:hAnsi="Calibri" w:cs="Calibri"/>
          <w:color w:val="000000" w:themeColor="text1"/>
          <w:lang w:val="es-ES_tradnl" w:eastAsia="es-ES"/>
        </w:rPr>
        <w:t>euros</w:t>
      </w:r>
      <w:r w:rsidRPr="000A0A4E">
        <w:rPr>
          <w:rFonts w:ascii="Calibri" w:eastAsia="Times New Roman" w:hAnsi="Calibri" w:cs="Calibri"/>
          <w:color w:val="000000" w:themeColor="text1"/>
          <w:lang w:val="es-ES_tradnl" w:eastAsia="es-ES"/>
        </w:rPr>
        <w:t>, con cargo</w:t>
      </w:r>
      <w:r w:rsidR="00B63983">
        <w:rPr>
          <w:rFonts w:ascii="Calibri" w:eastAsia="Times New Roman" w:hAnsi="Calibri" w:cs="Calibri"/>
          <w:color w:val="000000" w:themeColor="text1"/>
          <w:lang w:val="es-ES_tradnl" w:eastAsia="es-ES"/>
        </w:rPr>
        <w:t xml:space="preserve"> a las aplicaciones presupuestarias que se establezcan a tal fin en el </w:t>
      </w:r>
      <w:r w:rsidRPr="000A0A4E">
        <w:rPr>
          <w:rFonts w:ascii="Calibri" w:eastAsia="Times New Roman" w:hAnsi="Calibri" w:cs="Calibri"/>
          <w:color w:val="000000" w:themeColor="text1"/>
          <w:lang w:val="es-ES_tradnl" w:eastAsia="es-ES"/>
        </w:rPr>
        <w:t>Presupuesto de Gastos del Ministerio de Ciencia</w:t>
      </w:r>
      <w:r w:rsidR="00FF3FDE" w:rsidRPr="000A0A4E">
        <w:rPr>
          <w:rFonts w:ascii="Calibri" w:eastAsia="Times New Roman" w:hAnsi="Calibri" w:cs="Calibri"/>
          <w:color w:val="000000" w:themeColor="text1"/>
          <w:lang w:val="es-ES_tradnl" w:eastAsia="es-ES"/>
        </w:rPr>
        <w:t>, I</w:t>
      </w:r>
      <w:r w:rsidRPr="000A0A4E">
        <w:rPr>
          <w:rFonts w:ascii="Calibri" w:eastAsia="Times New Roman" w:hAnsi="Calibri" w:cs="Calibri"/>
          <w:color w:val="000000" w:themeColor="text1"/>
          <w:lang w:val="es-ES_tradnl" w:eastAsia="es-ES"/>
        </w:rPr>
        <w:t>nnovación</w:t>
      </w:r>
      <w:r w:rsidR="00FF3FDE" w:rsidRPr="000A0A4E">
        <w:rPr>
          <w:rFonts w:ascii="Calibri" w:eastAsia="Times New Roman" w:hAnsi="Calibri" w:cs="Calibri"/>
          <w:color w:val="000000" w:themeColor="text1"/>
          <w:lang w:val="es-ES_tradnl" w:eastAsia="es-ES"/>
        </w:rPr>
        <w:t xml:space="preserve"> y Universidades</w:t>
      </w:r>
      <w:r w:rsidRPr="000A0A4E">
        <w:rPr>
          <w:rFonts w:ascii="Calibri" w:eastAsia="Times New Roman" w:hAnsi="Calibri" w:cs="Calibri"/>
          <w:color w:val="000000" w:themeColor="text1"/>
          <w:lang w:val="es-ES_tradnl" w:eastAsia="es-ES"/>
        </w:rPr>
        <w:t xml:space="preserve"> para 202</w:t>
      </w:r>
      <w:r w:rsidR="00FE223B" w:rsidRPr="000A0A4E">
        <w:rPr>
          <w:rFonts w:ascii="Calibri" w:eastAsia="Times New Roman" w:hAnsi="Calibri" w:cs="Calibri"/>
          <w:color w:val="000000" w:themeColor="text1"/>
          <w:lang w:val="es-ES_tradnl" w:eastAsia="es-ES"/>
        </w:rPr>
        <w:t>3</w:t>
      </w:r>
      <w:r w:rsidR="008C7D3C" w:rsidRPr="000A0A4E">
        <w:rPr>
          <w:rFonts w:ascii="Calibri" w:eastAsia="Times New Roman" w:hAnsi="Calibri" w:cs="Calibri"/>
          <w:color w:val="000000" w:themeColor="text1"/>
          <w:lang w:val="es-ES_tradnl" w:eastAsia="es-ES"/>
        </w:rPr>
        <w:t xml:space="preserve"> prorrogado en 202</w:t>
      </w:r>
      <w:r w:rsidR="003F027B">
        <w:rPr>
          <w:rFonts w:ascii="Calibri" w:eastAsia="Times New Roman" w:hAnsi="Calibri" w:cs="Calibri"/>
          <w:color w:val="000000" w:themeColor="text1"/>
          <w:lang w:val="es-ES_tradnl" w:eastAsia="es-ES"/>
        </w:rPr>
        <w:t>5</w:t>
      </w:r>
      <w:r w:rsidR="00B63983">
        <w:rPr>
          <w:rFonts w:ascii="Calibri" w:eastAsia="Times New Roman" w:hAnsi="Calibri" w:cs="Calibri"/>
          <w:color w:val="000000" w:themeColor="text1"/>
          <w:lang w:val="es-ES_tradnl" w:eastAsia="es-ES"/>
        </w:rPr>
        <w:t>.</w:t>
      </w:r>
    </w:p>
    <w:p w14:paraId="0B124A87" w14:textId="4AB3D339" w:rsidR="00E70CA0" w:rsidRPr="000A0A4E" w:rsidRDefault="00E70CA0" w:rsidP="007C408D">
      <w:pPr>
        <w:spacing w:after="0" w:line="240" w:lineRule="auto"/>
        <w:jc w:val="both"/>
        <w:rPr>
          <w:rFonts w:ascii="Calibri" w:eastAsia="Times New Roman" w:hAnsi="Calibri" w:cs="Calibri"/>
          <w:color w:val="000000" w:themeColor="text1"/>
          <w:lang w:val="es-ES_tradnl" w:eastAsia="es-ES"/>
        </w:rPr>
      </w:pPr>
    </w:p>
    <w:p w14:paraId="1A31B1DF" w14:textId="599298CF" w:rsidR="00CE6EB7" w:rsidRPr="00CE6EB7" w:rsidRDefault="00C86837" w:rsidP="00566EEF">
      <w:pPr>
        <w:numPr>
          <w:ilvl w:val="0"/>
          <w:numId w:val="28"/>
        </w:numPr>
        <w:spacing w:after="0" w:line="240" w:lineRule="auto"/>
        <w:jc w:val="both"/>
        <w:rPr>
          <w:rFonts w:ascii="Calibri" w:eastAsia="Times New Roman" w:hAnsi="Calibri" w:cs="Calibri"/>
          <w:color w:val="000000" w:themeColor="text1"/>
          <w:lang w:val="es-ES_tradnl" w:eastAsia="es-ES"/>
        </w:rPr>
      </w:pPr>
      <w:r w:rsidRPr="00CE6EB7">
        <w:rPr>
          <w:rFonts w:ascii="Calibri" w:eastAsia="Times New Roman" w:hAnsi="Calibri" w:cs="Calibri"/>
          <w:color w:val="000000" w:themeColor="text1"/>
          <w:lang w:eastAsia="es-ES"/>
        </w:rPr>
        <w:t xml:space="preserve">A la Fundación PRIMA: </w:t>
      </w:r>
      <w:r w:rsidR="000A0A4E" w:rsidRPr="00CE6EB7">
        <w:rPr>
          <w:rFonts w:ascii="Calibri" w:eastAsia="Times New Roman" w:hAnsi="Calibri" w:cs="Calibri"/>
          <w:color w:val="000000" w:themeColor="text1"/>
          <w:lang w:eastAsia="es-ES"/>
        </w:rPr>
        <w:t>12</w:t>
      </w:r>
      <w:r w:rsidR="000F6897">
        <w:rPr>
          <w:rFonts w:ascii="Calibri" w:eastAsia="Times New Roman" w:hAnsi="Calibri" w:cs="Calibri"/>
          <w:color w:val="000000" w:themeColor="text1"/>
          <w:lang w:eastAsia="es-ES"/>
        </w:rPr>
        <w:t>8</w:t>
      </w:r>
      <w:r w:rsidRPr="00CE6EB7">
        <w:rPr>
          <w:rFonts w:ascii="Calibri" w:eastAsia="Times New Roman" w:hAnsi="Calibri" w:cs="Calibri"/>
          <w:color w:val="000000" w:themeColor="text1"/>
          <w:lang w:eastAsia="es-ES"/>
        </w:rPr>
        <w:t>.000,00€</w:t>
      </w:r>
      <w:r w:rsidR="0050266A" w:rsidRPr="00CE6EB7">
        <w:rPr>
          <w:rFonts w:ascii="Calibri" w:eastAsia="Times New Roman" w:hAnsi="Calibri" w:cs="Calibri"/>
          <w:color w:val="000000" w:themeColor="text1"/>
          <w:lang w:eastAsia="es-ES"/>
        </w:rPr>
        <w:t>.</w:t>
      </w:r>
    </w:p>
    <w:p w14:paraId="2222564D" w14:textId="77777777" w:rsidR="00CE6EB7" w:rsidRPr="00DD59F0" w:rsidRDefault="00C86837" w:rsidP="00566EEF">
      <w:pPr>
        <w:numPr>
          <w:ilvl w:val="0"/>
          <w:numId w:val="28"/>
        </w:numPr>
        <w:spacing w:after="0" w:line="240" w:lineRule="auto"/>
        <w:jc w:val="both"/>
        <w:rPr>
          <w:rFonts w:ascii="Calibri" w:eastAsia="Times New Roman" w:hAnsi="Calibri" w:cs="Calibri"/>
          <w:color w:val="000000" w:themeColor="text1"/>
          <w:lang w:val="es-ES_tradnl" w:eastAsia="es-ES"/>
        </w:rPr>
      </w:pPr>
      <w:r w:rsidRPr="00CE6EB7">
        <w:rPr>
          <w:rFonts w:ascii="Calibri" w:eastAsia="Times New Roman" w:hAnsi="Calibri" w:cs="Calibri"/>
          <w:color w:val="000000" w:themeColor="text1"/>
          <w:lang w:eastAsia="es-ES"/>
        </w:rPr>
        <w:t>A la Fundación Centro de Regulación Genómica (CRG) para la colaboración con el Laboratorio Europeo de Biología Molecular (EMBL): 1.000.000,00€</w:t>
      </w:r>
      <w:r w:rsidR="0050266A" w:rsidRPr="00CE6EB7">
        <w:rPr>
          <w:rFonts w:ascii="Calibri" w:eastAsia="Times New Roman" w:hAnsi="Calibri" w:cs="Calibri"/>
          <w:color w:val="000000" w:themeColor="text1"/>
          <w:lang w:eastAsia="es-ES"/>
        </w:rPr>
        <w:t>.</w:t>
      </w:r>
    </w:p>
    <w:p w14:paraId="166BF6AD" w14:textId="654D0671" w:rsidR="00AD707D" w:rsidRPr="003F027B" w:rsidRDefault="00AD707D" w:rsidP="00566EEF">
      <w:pPr>
        <w:numPr>
          <w:ilvl w:val="0"/>
          <w:numId w:val="28"/>
        </w:numPr>
        <w:spacing w:after="0" w:line="240" w:lineRule="auto"/>
        <w:jc w:val="both"/>
        <w:rPr>
          <w:rFonts w:ascii="Calibri" w:eastAsia="Times New Roman" w:hAnsi="Calibri" w:cs="Calibri"/>
          <w:color w:val="000000" w:themeColor="text1"/>
          <w:lang w:val="es-ES_tradnl" w:eastAsia="es-ES"/>
        </w:rPr>
      </w:pPr>
      <w:r>
        <w:rPr>
          <w:rFonts w:ascii="Calibri" w:eastAsia="Times New Roman" w:hAnsi="Calibri" w:cs="Calibri"/>
          <w:color w:val="000000" w:themeColor="text1"/>
          <w:lang w:eastAsia="es-ES"/>
        </w:rPr>
        <w:t>A la Universidad de Zaragoza para el nodo CECAM: 85.000€.</w:t>
      </w:r>
    </w:p>
    <w:p w14:paraId="16148902" w14:textId="726AA679" w:rsidR="003F027B" w:rsidRPr="00F77DB0" w:rsidRDefault="003F027B" w:rsidP="00566EEF">
      <w:pPr>
        <w:numPr>
          <w:ilvl w:val="0"/>
          <w:numId w:val="28"/>
        </w:numPr>
        <w:spacing w:after="0" w:line="240" w:lineRule="auto"/>
        <w:jc w:val="both"/>
        <w:rPr>
          <w:rFonts w:ascii="Calibri" w:eastAsia="Times New Roman" w:hAnsi="Calibri" w:cs="Calibri"/>
          <w:color w:val="000000" w:themeColor="text1"/>
          <w:lang w:val="es-ES_tradnl" w:eastAsia="es-ES"/>
        </w:rPr>
      </w:pPr>
      <w:r w:rsidRPr="00F77DB0">
        <w:rPr>
          <w:rFonts w:ascii="Calibri" w:eastAsia="Times New Roman" w:hAnsi="Calibri" w:cs="Calibri"/>
          <w:color w:val="000000" w:themeColor="text1"/>
          <w:lang w:eastAsia="es-ES"/>
        </w:rPr>
        <w:t xml:space="preserve">Al </w:t>
      </w:r>
      <w:r w:rsidRPr="00F77DB0">
        <w:rPr>
          <w:rFonts w:ascii="Calibri" w:hAnsi="Calibri" w:cs="Calibri"/>
        </w:rPr>
        <w:t>Instituto de Física d’Altes Energías (IFAE)</w:t>
      </w:r>
      <w:r w:rsidR="001F0BAE" w:rsidRPr="00F77DB0">
        <w:rPr>
          <w:rFonts w:ascii="Calibri" w:hAnsi="Calibri" w:cs="Calibri"/>
        </w:rPr>
        <w:t>:</w:t>
      </w:r>
    </w:p>
    <w:p w14:paraId="23218A3F" w14:textId="0081641A" w:rsidR="003F027B" w:rsidRPr="003F027B" w:rsidRDefault="003F027B" w:rsidP="003F027B">
      <w:pPr>
        <w:numPr>
          <w:ilvl w:val="1"/>
          <w:numId w:val="28"/>
        </w:numPr>
        <w:spacing w:after="0" w:line="240" w:lineRule="auto"/>
        <w:jc w:val="both"/>
        <w:rPr>
          <w:rFonts w:ascii="Calibri" w:eastAsia="Times New Roman" w:hAnsi="Calibri" w:cs="Calibri"/>
          <w:color w:val="000000" w:themeColor="text1"/>
          <w:lang w:val="es-ES_tradnl" w:eastAsia="es-ES"/>
        </w:rPr>
      </w:pPr>
      <w:r>
        <w:rPr>
          <w:rFonts w:ascii="Calibri" w:hAnsi="Calibri" w:cs="Calibri"/>
        </w:rPr>
        <w:t xml:space="preserve">Para la construcción del Telescopio Einstein (ET): </w:t>
      </w:r>
      <w:r w:rsidR="0043757E">
        <w:rPr>
          <w:rFonts w:ascii="Calibri" w:hAnsi="Calibri" w:cs="Calibri"/>
        </w:rPr>
        <w:t>6</w:t>
      </w:r>
      <w:r>
        <w:rPr>
          <w:rFonts w:ascii="Calibri" w:hAnsi="Calibri" w:cs="Calibri"/>
        </w:rPr>
        <w:t>33.000€</w:t>
      </w:r>
    </w:p>
    <w:p w14:paraId="4BB3C5DF" w14:textId="1FADE314" w:rsidR="003F027B" w:rsidRPr="00497FDF" w:rsidRDefault="003F027B" w:rsidP="003F027B">
      <w:pPr>
        <w:numPr>
          <w:ilvl w:val="1"/>
          <w:numId w:val="28"/>
        </w:numPr>
        <w:spacing w:after="0" w:line="240" w:lineRule="auto"/>
        <w:jc w:val="both"/>
        <w:rPr>
          <w:rFonts w:ascii="Calibri" w:eastAsia="Times New Roman" w:hAnsi="Calibri" w:cs="Calibri"/>
          <w:color w:val="000000" w:themeColor="text1"/>
          <w:lang w:val="es-ES_tradnl" w:eastAsia="es-ES"/>
        </w:rPr>
      </w:pPr>
      <w:r>
        <w:rPr>
          <w:rFonts w:ascii="Calibri" w:hAnsi="Calibri" w:cs="Calibri"/>
          <w:lang w:val="es-ES_tradnl"/>
        </w:rPr>
        <w:t>Para la participación en el Observator</w:t>
      </w:r>
      <w:r w:rsidR="001F0BAE">
        <w:rPr>
          <w:rFonts w:ascii="Calibri" w:hAnsi="Calibri" w:cs="Calibri"/>
          <w:lang w:val="es-ES_tradnl"/>
        </w:rPr>
        <w:t xml:space="preserve">io Gravitacional Europeo </w:t>
      </w:r>
      <w:r>
        <w:rPr>
          <w:rFonts w:ascii="Calibri" w:hAnsi="Calibri" w:cs="Calibri"/>
          <w:lang w:val="es-ES_tradnl"/>
        </w:rPr>
        <w:t xml:space="preserve">(EGO): </w:t>
      </w:r>
      <w:r w:rsidR="0043757E">
        <w:rPr>
          <w:rFonts w:ascii="Calibri" w:hAnsi="Calibri" w:cs="Calibri"/>
          <w:lang w:val="es-ES_tradnl"/>
        </w:rPr>
        <w:t>2</w:t>
      </w:r>
      <w:r>
        <w:rPr>
          <w:rFonts w:ascii="Calibri" w:hAnsi="Calibri" w:cs="Calibri"/>
          <w:lang w:val="es-ES_tradnl"/>
        </w:rPr>
        <w:t>00.000€</w:t>
      </w:r>
    </w:p>
    <w:p w14:paraId="17154931" w14:textId="700A5A04" w:rsidR="00497FDF" w:rsidRPr="00497FDF" w:rsidRDefault="00497FDF" w:rsidP="00497FDF">
      <w:pPr>
        <w:numPr>
          <w:ilvl w:val="0"/>
          <w:numId w:val="28"/>
        </w:numPr>
        <w:spacing w:after="0" w:line="240" w:lineRule="auto"/>
        <w:jc w:val="both"/>
        <w:rPr>
          <w:rFonts w:ascii="Calibri" w:eastAsia="Times New Roman" w:hAnsi="Calibri" w:cs="Calibri"/>
          <w:color w:val="000000" w:themeColor="text1"/>
          <w:lang w:val="es-ES_tradnl" w:eastAsia="es-ES"/>
        </w:rPr>
      </w:pPr>
      <w:r>
        <w:rPr>
          <w:rFonts w:ascii="Calibri" w:hAnsi="Calibri" w:cs="Calibri"/>
          <w:lang w:val="es-ES_tradnl"/>
        </w:rPr>
        <w:t>A la Confederación de Sociedades Científicas de España, 50.000€ con cargo a la aplicación presupuestaria 28.06.463B.484.</w:t>
      </w:r>
    </w:p>
    <w:p w14:paraId="4D8E3D81" w14:textId="77777777" w:rsidR="00497FDF" w:rsidRPr="00CE6EB7" w:rsidRDefault="00497FDF" w:rsidP="00497FDF">
      <w:pPr>
        <w:spacing w:after="0" w:line="240" w:lineRule="auto"/>
        <w:ind w:left="720"/>
        <w:jc w:val="both"/>
        <w:rPr>
          <w:rFonts w:ascii="Calibri" w:eastAsia="Times New Roman" w:hAnsi="Calibri" w:cs="Calibri"/>
          <w:color w:val="000000" w:themeColor="text1"/>
          <w:lang w:val="es-ES_tradnl" w:eastAsia="es-ES"/>
        </w:rPr>
      </w:pPr>
    </w:p>
    <w:p w14:paraId="41F76F9A" w14:textId="3CD7F1CD" w:rsidR="005F5FE2" w:rsidRPr="000A0A4E" w:rsidRDefault="005F5FE2" w:rsidP="00680DF3">
      <w:pPr>
        <w:spacing w:after="0" w:line="240" w:lineRule="auto"/>
        <w:jc w:val="both"/>
        <w:rPr>
          <w:color w:val="000000" w:themeColor="text1"/>
        </w:rPr>
      </w:pPr>
      <w:r w:rsidRPr="000A0A4E">
        <w:rPr>
          <w:color w:val="000000" w:themeColor="text1"/>
        </w:rPr>
        <w:t xml:space="preserve">La estimación de estos importes se ha basado, en </w:t>
      </w:r>
      <w:r w:rsidR="00C86837" w:rsidRPr="000A0A4E">
        <w:rPr>
          <w:color w:val="000000" w:themeColor="text1"/>
        </w:rPr>
        <w:t xml:space="preserve">todos casos en el mantenimiento de una contribución fija al presupuesto de estas entidades que es necesaria para el desarrollo de la actividad de servicio público que prestan y que viene </w:t>
      </w:r>
      <w:r w:rsidR="00F21C29" w:rsidRPr="000A0A4E">
        <w:rPr>
          <w:color w:val="000000" w:themeColor="text1"/>
        </w:rPr>
        <w:t xml:space="preserve">repitiéndose </w:t>
      </w:r>
      <w:r w:rsidR="00C86837" w:rsidRPr="000A0A4E">
        <w:rPr>
          <w:color w:val="000000" w:themeColor="text1"/>
        </w:rPr>
        <w:t xml:space="preserve">en los últimos años. </w:t>
      </w:r>
      <w:r w:rsidRPr="000A0A4E">
        <w:rPr>
          <w:color w:val="000000" w:themeColor="text1"/>
        </w:rPr>
        <w:t xml:space="preserve"> </w:t>
      </w:r>
    </w:p>
    <w:p w14:paraId="70EC2D2C" w14:textId="77777777" w:rsidR="005F5FE2" w:rsidRPr="001F0BAE" w:rsidRDefault="005F5FE2" w:rsidP="007C408D">
      <w:pPr>
        <w:spacing w:after="0" w:line="240" w:lineRule="auto"/>
        <w:jc w:val="both"/>
        <w:rPr>
          <w:rFonts w:ascii="Calibri" w:eastAsia="Times New Roman" w:hAnsi="Calibri" w:cs="Calibri"/>
          <w:lang w:val="es-ES_tradnl" w:eastAsia="es-ES"/>
        </w:rPr>
      </w:pPr>
    </w:p>
    <w:p w14:paraId="50EFED0F" w14:textId="77777777" w:rsidR="00E435BC" w:rsidRPr="00C95D35" w:rsidRDefault="00E435BC" w:rsidP="00E435BC">
      <w:pPr>
        <w:widowControl w:val="0"/>
        <w:numPr>
          <w:ilvl w:val="0"/>
          <w:numId w:val="4"/>
        </w:numPr>
        <w:shd w:val="clear" w:color="auto" w:fill="FFFFFF"/>
        <w:tabs>
          <w:tab w:val="left" w:pos="0"/>
        </w:tabs>
        <w:spacing w:after="0" w:line="240" w:lineRule="auto"/>
        <w:ind w:right="310"/>
        <w:jc w:val="both"/>
        <w:rPr>
          <w:rFonts w:ascii="Calibri" w:eastAsia="Times New Roman" w:hAnsi="Calibri" w:cs="Calibri"/>
          <w:b/>
          <w:spacing w:val="6"/>
          <w:lang w:val="es-ES_tradnl" w:eastAsia="es-ES"/>
        </w:rPr>
      </w:pPr>
      <w:r w:rsidRPr="00C95D35">
        <w:rPr>
          <w:rFonts w:ascii="Calibri" w:eastAsia="Times New Roman" w:hAnsi="Calibri" w:cs="Calibri"/>
          <w:b/>
          <w:spacing w:val="6"/>
          <w:lang w:val="es-ES_tradnl" w:eastAsia="es-ES"/>
        </w:rPr>
        <w:t>Impacto de cargas administrativas.</w:t>
      </w:r>
    </w:p>
    <w:p w14:paraId="1F662986" w14:textId="77777777" w:rsidR="00E435BC" w:rsidRPr="00C95D35" w:rsidRDefault="00E435BC" w:rsidP="00E435BC">
      <w:pPr>
        <w:spacing w:after="0" w:line="240" w:lineRule="auto"/>
        <w:jc w:val="both"/>
        <w:rPr>
          <w:rFonts w:ascii="Calibri" w:eastAsia="Times New Roman" w:hAnsi="Calibri" w:cs="Calibri"/>
          <w:highlight w:val="green"/>
          <w:lang w:val="es-ES_tradnl" w:eastAsia="es-ES"/>
        </w:rPr>
      </w:pPr>
    </w:p>
    <w:p w14:paraId="2D53C1B0" w14:textId="30E9FFCD" w:rsidR="00E435BC" w:rsidRDefault="00E435BC" w:rsidP="00E435BC">
      <w:pPr>
        <w:spacing w:after="0" w:line="240" w:lineRule="auto"/>
        <w:jc w:val="both"/>
        <w:rPr>
          <w:rFonts w:ascii="Calibri" w:eastAsia="Times New Roman" w:hAnsi="Calibri" w:cs="Calibri"/>
          <w:lang w:val="es-ES_tradnl" w:eastAsia="es-ES"/>
        </w:rPr>
      </w:pPr>
      <w:r w:rsidRPr="00C95D35">
        <w:rPr>
          <w:rFonts w:ascii="Calibri" w:eastAsia="Times New Roman" w:hAnsi="Calibri" w:cs="Calibri"/>
          <w:lang w:val="es-ES_tradnl" w:eastAsia="es-ES"/>
        </w:rPr>
        <w:t xml:space="preserve">La norma proyectada no se estima que produzca impacto alguno en materia de cargas administrativas. </w:t>
      </w:r>
    </w:p>
    <w:p w14:paraId="013A45C6" w14:textId="77777777" w:rsidR="00E435BC" w:rsidRPr="00AA2092" w:rsidRDefault="00E435BC" w:rsidP="00E435BC">
      <w:pPr>
        <w:spacing w:after="0" w:line="240" w:lineRule="auto"/>
        <w:jc w:val="both"/>
        <w:rPr>
          <w:rFonts w:ascii="Calibri" w:eastAsia="Times New Roman" w:hAnsi="Calibri" w:cs="Calibri"/>
          <w:color w:val="808080" w:themeColor="background1" w:themeShade="80"/>
          <w:lang w:val="es-ES_tradnl" w:eastAsia="es-ES"/>
        </w:rPr>
      </w:pPr>
    </w:p>
    <w:p w14:paraId="33935F53" w14:textId="77777777" w:rsidR="00E435BC" w:rsidRPr="00C95D35" w:rsidRDefault="00E435BC" w:rsidP="00E435BC">
      <w:pPr>
        <w:widowControl w:val="0"/>
        <w:numPr>
          <w:ilvl w:val="0"/>
          <w:numId w:val="4"/>
        </w:numPr>
        <w:shd w:val="clear" w:color="auto" w:fill="FFFFFF"/>
        <w:tabs>
          <w:tab w:val="left" w:pos="0"/>
        </w:tabs>
        <w:spacing w:after="0" w:line="240" w:lineRule="auto"/>
        <w:ind w:right="310"/>
        <w:jc w:val="both"/>
        <w:rPr>
          <w:rFonts w:ascii="Calibri" w:eastAsia="Times New Roman" w:hAnsi="Calibri" w:cs="Calibri"/>
          <w:b/>
          <w:spacing w:val="6"/>
          <w:lang w:val="es-ES_tradnl" w:eastAsia="es-ES"/>
        </w:rPr>
      </w:pPr>
      <w:r w:rsidRPr="00C95D35">
        <w:rPr>
          <w:rFonts w:ascii="Calibri" w:eastAsia="Times New Roman" w:hAnsi="Calibri" w:cs="Calibri"/>
          <w:b/>
          <w:spacing w:val="6"/>
          <w:lang w:val="es-ES_tradnl" w:eastAsia="es-ES"/>
        </w:rPr>
        <w:t>Impacto por razón de género.</w:t>
      </w:r>
    </w:p>
    <w:p w14:paraId="37BCB4F1" w14:textId="77777777" w:rsidR="00E435BC" w:rsidRPr="00C95D35" w:rsidRDefault="00E435BC" w:rsidP="00E435BC">
      <w:pPr>
        <w:widowControl w:val="0"/>
        <w:spacing w:after="0" w:line="240" w:lineRule="auto"/>
        <w:ind w:right="-1"/>
        <w:jc w:val="both"/>
        <w:rPr>
          <w:rFonts w:ascii="Calibri" w:eastAsia="Times New Roman" w:hAnsi="Calibri" w:cs="Calibri"/>
          <w:lang w:val="es-ES_tradnl" w:eastAsia="es-ES"/>
        </w:rPr>
      </w:pPr>
    </w:p>
    <w:p w14:paraId="0BA1A83E" w14:textId="5EFE9E7A" w:rsidR="00914371" w:rsidRPr="00C95D35" w:rsidRDefault="00E435BC" w:rsidP="00E435BC">
      <w:pPr>
        <w:widowControl w:val="0"/>
        <w:spacing w:after="0" w:line="240" w:lineRule="auto"/>
        <w:ind w:right="-1"/>
        <w:jc w:val="both"/>
        <w:rPr>
          <w:rFonts w:ascii="Calibri" w:eastAsia="Times New Roman" w:hAnsi="Calibri" w:cs="Calibri"/>
          <w:spacing w:val="6"/>
          <w:lang w:eastAsia="es-ES"/>
        </w:rPr>
      </w:pPr>
      <w:r w:rsidRPr="00C95D35">
        <w:rPr>
          <w:rFonts w:ascii="Calibri" w:eastAsia="Times New Roman" w:hAnsi="Calibri" w:cs="Calibri"/>
          <w:lang w:val="es-ES_tradnl" w:eastAsia="es-ES"/>
        </w:rPr>
        <w:t xml:space="preserve">En cumplimiento de lo establecido en el artículo 26.3.f) de la Ley 50/1997, de 27 de noviembre, del Gobierno y el artículo 19 de la Ley Orgánica 3/2007, de 22 de marzo, para la igualdad efectiva entre mujeres y hombres, se indica que el </w:t>
      </w:r>
      <w:r w:rsidRPr="001F0BAE">
        <w:rPr>
          <w:rFonts w:ascii="Calibri" w:eastAsia="Times New Roman" w:hAnsi="Calibri" w:cs="Calibri"/>
          <w:lang w:val="es-ES_tradnl" w:eastAsia="es-ES"/>
        </w:rPr>
        <w:t xml:space="preserve">impacto del proyecto por razón de género es nulo, al tratarse de una medida </w:t>
      </w:r>
      <w:r w:rsidR="00914371" w:rsidRPr="001F0BAE">
        <w:rPr>
          <w:rFonts w:ascii="Calibri" w:eastAsia="Times New Roman" w:hAnsi="Calibri" w:cs="Calibri"/>
          <w:lang w:val="es-ES_tradnl" w:eastAsia="es-ES"/>
        </w:rPr>
        <w:t xml:space="preserve">destinada a la </w:t>
      </w:r>
      <w:r w:rsidR="00647E49" w:rsidRPr="001F0BAE">
        <w:rPr>
          <w:rFonts w:ascii="Calibri" w:eastAsia="Times New Roman" w:hAnsi="Calibri" w:cs="Calibri"/>
          <w:lang w:val="es-ES_tradnl" w:eastAsia="es-ES"/>
        </w:rPr>
        <w:t xml:space="preserve">financiación de </w:t>
      </w:r>
      <w:r w:rsidR="006C65AD" w:rsidRPr="001F0BAE">
        <w:rPr>
          <w:rFonts w:ascii="Calibri" w:eastAsia="Times New Roman" w:hAnsi="Calibri" w:cs="Calibri"/>
          <w:lang w:val="es-ES_tradnl" w:eastAsia="es-ES"/>
        </w:rPr>
        <w:t>entidades</w:t>
      </w:r>
      <w:r w:rsidR="00F21C29" w:rsidRPr="001F0BAE">
        <w:rPr>
          <w:rFonts w:ascii="Calibri" w:eastAsia="Times New Roman" w:hAnsi="Calibri" w:cs="Calibri"/>
          <w:lang w:val="es-ES_tradnl" w:eastAsia="es-ES"/>
        </w:rPr>
        <w:t xml:space="preserve"> en el desarrollo de sus actividades de servicio público.</w:t>
      </w:r>
      <w:r w:rsidR="00F21C29">
        <w:rPr>
          <w:rFonts w:ascii="Calibri" w:eastAsia="Times New Roman" w:hAnsi="Calibri" w:cs="Calibri"/>
          <w:spacing w:val="6"/>
          <w:lang w:eastAsia="es-ES"/>
        </w:rPr>
        <w:t xml:space="preserve"> </w:t>
      </w:r>
    </w:p>
    <w:p w14:paraId="46E709A0" w14:textId="77777777" w:rsidR="00E435BC" w:rsidRPr="00C95D35" w:rsidRDefault="00E435BC" w:rsidP="00E435BC">
      <w:pPr>
        <w:widowControl w:val="0"/>
        <w:spacing w:after="0" w:line="240" w:lineRule="auto"/>
        <w:ind w:right="-1"/>
        <w:jc w:val="both"/>
        <w:rPr>
          <w:rFonts w:ascii="Calibri" w:eastAsia="Times New Roman" w:hAnsi="Calibri" w:cs="Calibri"/>
          <w:lang w:eastAsia="es-ES"/>
        </w:rPr>
      </w:pPr>
    </w:p>
    <w:p w14:paraId="28691AB0" w14:textId="77777777" w:rsidR="00E435BC" w:rsidRPr="00C95D35" w:rsidRDefault="00E435BC" w:rsidP="00E435BC">
      <w:pPr>
        <w:widowControl w:val="0"/>
        <w:numPr>
          <w:ilvl w:val="0"/>
          <w:numId w:val="4"/>
        </w:numPr>
        <w:shd w:val="clear" w:color="auto" w:fill="FFFFFF"/>
        <w:tabs>
          <w:tab w:val="left" w:pos="0"/>
        </w:tabs>
        <w:spacing w:after="0" w:line="240" w:lineRule="auto"/>
        <w:ind w:right="310"/>
        <w:jc w:val="both"/>
        <w:rPr>
          <w:rFonts w:ascii="Calibri" w:eastAsia="Times New Roman" w:hAnsi="Calibri" w:cs="Calibri"/>
          <w:b/>
          <w:lang w:eastAsia="es-ES"/>
        </w:rPr>
      </w:pPr>
      <w:r w:rsidRPr="00C95D35">
        <w:rPr>
          <w:rFonts w:ascii="Calibri" w:eastAsia="Times New Roman" w:hAnsi="Calibri" w:cs="Calibri"/>
          <w:b/>
          <w:lang w:eastAsia="es-ES"/>
        </w:rPr>
        <w:t>Impacto en la infancia y la adolescencia. Impacto en la familia.</w:t>
      </w:r>
    </w:p>
    <w:p w14:paraId="6331AA6D" w14:textId="77777777" w:rsidR="00E435BC" w:rsidRPr="00C95D35" w:rsidRDefault="00E435BC" w:rsidP="00E435BC">
      <w:pPr>
        <w:widowControl w:val="0"/>
        <w:shd w:val="clear" w:color="auto" w:fill="FFFFFF"/>
        <w:tabs>
          <w:tab w:val="left" w:pos="0"/>
        </w:tabs>
        <w:spacing w:after="0" w:line="240" w:lineRule="auto"/>
        <w:ind w:right="310"/>
        <w:jc w:val="both"/>
        <w:rPr>
          <w:rFonts w:ascii="Calibri" w:eastAsia="Times New Roman" w:hAnsi="Calibri" w:cs="Calibri"/>
          <w:b/>
          <w:lang w:eastAsia="es-ES"/>
        </w:rPr>
      </w:pPr>
    </w:p>
    <w:p w14:paraId="3101A337" w14:textId="5504EADA" w:rsidR="00131A17" w:rsidRDefault="00E435BC" w:rsidP="00E435BC">
      <w:pPr>
        <w:widowControl w:val="0"/>
        <w:shd w:val="clear" w:color="auto" w:fill="FFFFFF"/>
        <w:tabs>
          <w:tab w:val="left" w:pos="0"/>
        </w:tabs>
        <w:spacing w:after="0" w:line="240" w:lineRule="auto"/>
        <w:ind w:right="310"/>
        <w:jc w:val="both"/>
        <w:rPr>
          <w:rFonts w:ascii="Calibri" w:eastAsia="Times New Roman" w:hAnsi="Calibri" w:cs="Calibri"/>
          <w:lang w:eastAsia="es-ES"/>
        </w:rPr>
      </w:pPr>
      <w:r w:rsidRPr="00C95D35">
        <w:rPr>
          <w:rFonts w:ascii="Calibri" w:eastAsia="Times New Roman" w:hAnsi="Calibri" w:cs="Calibri"/>
          <w:lang w:eastAsia="es-ES"/>
        </w:rPr>
        <w:t>De acuerdo con lo dispuesto en el artículo 22 quinquies de la Ley Orgánica 1/1996, de 15 de enero, de Protección Jurídica del Menor, así como con lo establecido en la disposición adicional décima de la Ley 40/2003, de 18 de noviembre, de Protección a las Familias Numerosas, se ha procedido al análisis del impacto del proyecto en la infancia y la adolescencia, y en las familias. Se considera que dicho impacto para ambos aspectos es nulo</w:t>
      </w:r>
      <w:r w:rsidR="00647E49">
        <w:rPr>
          <w:rFonts w:ascii="Calibri" w:eastAsia="Times New Roman" w:hAnsi="Calibri" w:cs="Calibri"/>
          <w:lang w:eastAsia="es-ES"/>
        </w:rPr>
        <w:t>.</w:t>
      </w:r>
    </w:p>
    <w:p w14:paraId="5E6FB083" w14:textId="77777777" w:rsidR="00131A17" w:rsidRDefault="00131A17" w:rsidP="00E435BC">
      <w:pPr>
        <w:widowControl w:val="0"/>
        <w:shd w:val="clear" w:color="auto" w:fill="FFFFFF"/>
        <w:tabs>
          <w:tab w:val="left" w:pos="0"/>
        </w:tabs>
        <w:spacing w:after="0" w:line="240" w:lineRule="auto"/>
        <w:ind w:right="310"/>
        <w:jc w:val="both"/>
        <w:rPr>
          <w:rFonts w:ascii="Calibri" w:eastAsia="Times New Roman" w:hAnsi="Calibri" w:cs="Calibri"/>
          <w:lang w:eastAsia="es-ES"/>
        </w:rPr>
      </w:pPr>
    </w:p>
    <w:p w14:paraId="0484DC18" w14:textId="26DF453B" w:rsidR="008A0C90" w:rsidRPr="00D9085B" w:rsidRDefault="008A0C90" w:rsidP="00D9085B">
      <w:pPr>
        <w:pStyle w:val="Prrafodelista"/>
        <w:widowControl w:val="0"/>
        <w:numPr>
          <w:ilvl w:val="0"/>
          <w:numId w:val="24"/>
        </w:numPr>
        <w:shd w:val="clear" w:color="auto" w:fill="FFFFFF"/>
        <w:tabs>
          <w:tab w:val="left" w:pos="0"/>
        </w:tabs>
        <w:spacing w:after="0" w:line="240" w:lineRule="auto"/>
        <w:ind w:right="310"/>
        <w:jc w:val="both"/>
        <w:rPr>
          <w:rFonts w:ascii="Calibri" w:eastAsia="Times New Roman" w:hAnsi="Calibri" w:cs="Calibri"/>
          <w:lang w:eastAsia="es-ES"/>
        </w:rPr>
      </w:pPr>
      <w:r w:rsidRPr="00D9085B">
        <w:rPr>
          <w:rFonts w:ascii="Calibri" w:eastAsia="Times New Roman" w:hAnsi="Calibri" w:cs="Calibri"/>
          <w:b/>
          <w:bCs/>
          <w:lang w:eastAsia="es-ES"/>
        </w:rPr>
        <w:t>Impacto por razón de cambio climático.</w:t>
      </w:r>
    </w:p>
    <w:p w14:paraId="58AE0869" w14:textId="2785804F" w:rsidR="008A0C90" w:rsidRDefault="008A0C90" w:rsidP="00E435BC">
      <w:pPr>
        <w:widowControl w:val="0"/>
        <w:shd w:val="clear" w:color="auto" w:fill="FFFFFF"/>
        <w:tabs>
          <w:tab w:val="left" w:pos="0"/>
        </w:tabs>
        <w:spacing w:after="0" w:line="240" w:lineRule="auto"/>
        <w:ind w:right="310"/>
        <w:jc w:val="both"/>
        <w:rPr>
          <w:rFonts w:ascii="Calibri" w:eastAsia="Times New Roman" w:hAnsi="Calibri" w:cs="Calibri"/>
          <w:b/>
          <w:bCs/>
          <w:lang w:eastAsia="es-ES"/>
        </w:rPr>
      </w:pPr>
    </w:p>
    <w:p w14:paraId="2F2BE517" w14:textId="1181B5A2" w:rsidR="00E435BC" w:rsidRPr="00AA2092" w:rsidRDefault="000A0A4E" w:rsidP="00E435BC">
      <w:pPr>
        <w:widowControl w:val="0"/>
        <w:tabs>
          <w:tab w:val="left" w:pos="-720"/>
          <w:tab w:val="left" w:pos="0"/>
        </w:tabs>
        <w:spacing w:after="0" w:line="240" w:lineRule="auto"/>
        <w:ind w:right="310"/>
        <w:jc w:val="both"/>
        <w:rPr>
          <w:rFonts w:ascii="Calibri" w:eastAsia="Times New Roman" w:hAnsi="Calibri" w:cs="Calibri"/>
          <w:color w:val="808080" w:themeColor="background1" w:themeShade="80"/>
          <w:spacing w:val="6"/>
          <w:lang w:val="es-ES_tradnl" w:eastAsia="es-ES"/>
        </w:rPr>
      </w:pPr>
      <w:r w:rsidRPr="003A769B">
        <w:rPr>
          <w:rFonts w:ascii="Calibri" w:hAnsi="Calibri" w:cstheme="minorHAnsi"/>
          <w:bCs/>
        </w:rPr>
        <w:t>De acuerdo con lo establecido en el artículo 26.3.h) de la Ley 50/1997, de 27 de noviembre, se ha procedido al análisis del impacto por razón de cambio climático, considerándose que dicho impacto es nulo.</w:t>
      </w:r>
    </w:p>
    <w:p w14:paraId="42006AD6" w14:textId="77777777" w:rsidR="00E435BC" w:rsidRPr="00C95D35" w:rsidRDefault="00E435BC" w:rsidP="00E435BC">
      <w:pPr>
        <w:widowControl w:val="0"/>
        <w:tabs>
          <w:tab w:val="left" w:pos="-720"/>
          <w:tab w:val="left" w:pos="0"/>
        </w:tabs>
        <w:spacing w:after="0" w:line="240" w:lineRule="auto"/>
        <w:ind w:right="310"/>
        <w:jc w:val="both"/>
        <w:rPr>
          <w:rFonts w:ascii="Calibri" w:eastAsia="Times New Roman" w:hAnsi="Calibri" w:cs="Calibri"/>
          <w:spacing w:val="6"/>
          <w:lang w:val="es-ES_tradnl" w:eastAsia="es-ES"/>
        </w:rPr>
      </w:pPr>
    </w:p>
    <w:p w14:paraId="250F7886" w14:textId="2295DD69" w:rsidR="00E435BC" w:rsidRPr="00C95D35" w:rsidRDefault="00E435BC" w:rsidP="00E435BC">
      <w:pPr>
        <w:spacing w:after="0" w:line="240" w:lineRule="auto"/>
        <w:jc w:val="both"/>
        <w:rPr>
          <w:rFonts w:ascii="Calibri" w:eastAsia="Times New Roman" w:hAnsi="Calibri" w:cs="Calibri"/>
          <w:b/>
          <w:lang w:val="es-ES_tradnl" w:eastAsia="es-ES"/>
        </w:rPr>
      </w:pPr>
      <w:r w:rsidRPr="00C95D35">
        <w:rPr>
          <w:rFonts w:ascii="Calibri" w:eastAsia="Times New Roman" w:hAnsi="Calibri" w:cs="Calibri"/>
          <w:b/>
          <w:lang w:val="es-ES_tradnl" w:eastAsia="es-ES"/>
        </w:rPr>
        <w:t>VI</w:t>
      </w:r>
      <w:r w:rsidR="00BF208C">
        <w:rPr>
          <w:rFonts w:ascii="Calibri" w:eastAsia="Times New Roman" w:hAnsi="Calibri" w:cs="Calibri"/>
          <w:b/>
          <w:lang w:val="es-ES_tradnl" w:eastAsia="es-ES"/>
        </w:rPr>
        <w:t>I</w:t>
      </w:r>
      <w:r w:rsidRPr="00C95D35">
        <w:rPr>
          <w:rFonts w:ascii="Calibri" w:eastAsia="Times New Roman" w:hAnsi="Calibri" w:cs="Calibri"/>
          <w:b/>
          <w:lang w:val="es-ES_tradnl" w:eastAsia="es-ES"/>
        </w:rPr>
        <w:t>I. EVALUACIÓN DE RESULTADOS DE LA APLICACIÓN DE LA NORMA</w:t>
      </w:r>
    </w:p>
    <w:p w14:paraId="5D8F6BEB" w14:textId="77777777" w:rsidR="00E435BC" w:rsidRPr="00C95D35" w:rsidRDefault="00E435BC" w:rsidP="00E435BC">
      <w:pPr>
        <w:spacing w:after="0" w:line="240" w:lineRule="auto"/>
        <w:jc w:val="both"/>
        <w:rPr>
          <w:rFonts w:ascii="Calibri" w:eastAsia="Times New Roman" w:hAnsi="Calibri" w:cs="Calibri"/>
          <w:b/>
          <w:lang w:val="es-ES_tradnl" w:eastAsia="es-ES"/>
        </w:rPr>
      </w:pPr>
    </w:p>
    <w:p w14:paraId="622BFBE6" w14:textId="2E7B0C22" w:rsidR="00E435BC" w:rsidRPr="00C95D35" w:rsidRDefault="0017648E" w:rsidP="00E435BC">
      <w:pPr>
        <w:spacing w:after="0" w:line="240" w:lineRule="auto"/>
        <w:jc w:val="both"/>
        <w:rPr>
          <w:rFonts w:ascii="Calibri" w:eastAsia="Times New Roman" w:hAnsi="Calibri" w:cs="Calibri"/>
          <w:lang w:val="es-ES_tradnl" w:eastAsia="es-ES"/>
        </w:rPr>
      </w:pPr>
      <w:r>
        <w:rPr>
          <w:rFonts w:ascii="Calibri" w:eastAsia="Times New Roman" w:hAnsi="Calibri" w:cs="Calibri"/>
          <w:lang w:val="es-ES_tradnl" w:eastAsia="es-ES"/>
        </w:rPr>
        <w:t xml:space="preserve">No se considera necesaria la </w:t>
      </w:r>
      <w:r w:rsidR="00E435BC" w:rsidRPr="00C95D35">
        <w:rPr>
          <w:rFonts w:ascii="Calibri" w:eastAsia="Times New Roman" w:hAnsi="Calibri" w:cs="Calibri"/>
          <w:lang w:val="es-ES_tradnl" w:eastAsia="es-ES"/>
        </w:rPr>
        <w:t xml:space="preserve">evaluación </w:t>
      </w:r>
      <w:r>
        <w:rPr>
          <w:rFonts w:ascii="Calibri" w:eastAsia="Times New Roman" w:hAnsi="Calibri" w:cs="Calibri"/>
          <w:lang w:val="es-ES_tradnl" w:eastAsia="es-ES"/>
        </w:rPr>
        <w:t>ex post de la norma e</w:t>
      </w:r>
      <w:r w:rsidR="00E435BC" w:rsidRPr="00C95D35">
        <w:rPr>
          <w:rFonts w:ascii="Calibri" w:eastAsia="Times New Roman" w:hAnsi="Calibri" w:cs="Calibri"/>
          <w:lang w:val="es-ES_tradnl" w:eastAsia="es-ES"/>
        </w:rPr>
        <w:t>n atención a su naturaleza y contenido, ya que no prevé incremento en las cargas administrativas y regulación para el presente ejercicio, tampoco requiere un análisis de su sostenibilidad.</w:t>
      </w:r>
    </w:p>
    <w:p w14:paraId="4C6B851D" w14:textId="77777777" w:rsidR="00E435BC" w:rsidRPr="00C95D35" w:rsidRDefault="00E435BC" w:rsidP="00E435BC">
      <w:pPr>
        <w:widowControl w:val="0"/>
        <w:tabs>
          <w:tab w:val="left" w:pos="-720"/>
          <w:tab w:val="left" w:pos="0"/>
        </w:tabs>
        <w:spacing w:after="0" w:line="240" w:lineRule="auto"/>
        <w:ind w:right="310"/>
        <w:jc w:val="both"/>
        <w:rPr>
          <w:rFonts w:ascii="Calibri" w:eastAsia="Times New Roman" w:hAnsi="Calibri" w:cs="Calibri"/>
          <w:spacing w:val="6"/>
          <w:lang w:val="es-ES_tradnl" w:eastAsia="es-ES"/>
        </w:rPr>
      </w:pPr>
    </w:p>
    <w:p w14:paraId="53DE8C37" w14:textId="77777777" w:rsidR="00E435BC" w:rsidRPr="00C95D35" w:rsidRDefault="00E435BC" w:rsidP="00E435BC">
      <w:pPr>
        <w:widowControl w:val="0"/>
        <w:tabs>
          <w:tab w:val="left" w:pos="-720"/>
          <w:tab w:val="left" w:pos="0"/>
        </w:tabs>
        <w:spacing w:after="0" w:line="240" w:lineRule="auto"/>
        <w:ind w:right="310"/>
        <w:jc w:val="both"/>
        <w:rPr>
          <w:rFonts w:ascii="Calibri" w:eastAsia="Times New Roman" w:hAnsi="Calibri" w:cs="Calibri"/>
          <w:spacing w:val="6"/>
          <w:lang w:val="es-ES_tradnl" w:eastAsia="es-ES"/>
        </w:rPr>
      </w:pPr>
    </w:p>
    <w:p w14:paraId="5E223F17" w14:textId="77777777" w:rsidR="00C60AFB" w:rsidRPr="00396BC8" w:rsidRDefault="00C60AFB"/>
    <w:sectPr w:rsidR="00C60AFB" w:rsidRPr="00396BC8" w:rsidSect="00C60AFB">
      <w:type w:val="continuous"/>
      <w:pgSz w:w="11906" w:h="16838" w:code="9"/>
      <w:pgMar w:top="992" w:right="1701" w:bottom="1418" w:left="1701" w:header="289" w:footer="1009" w:gutter="0"/>
      <w:cols w:space="720" w:equalWidth="0">
        <w:col w:w="8277"/>
      </w:cols>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5D7DC4" w14:textId="77777777" w:rsidR="005A22AC" w:rsidRDefault="005A22AC">
      <w:pPr>
        <w:spacing w:after="0" w:line="240" w:lineRule="auto"/>
      </w:pPr>
      <w:r>
        <w:separator/>
      </w:r>
    </w:p>
  </w:endnote>
  <w:endnote w:type="continuationSeparator" w:id="0">
    <w:p w14:paraId="6BDA1EBE" w14:textId="77777777" w:rsidR="005A22AC" w:rsidRDefault="005A22A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Bodoni SvtyTwo OS ITC TT-Book">
    <w:altName w:val="Courier New"/>
    <w:panose1 w:val="00000000000000000000"/>
    <w:charset w:val="00"/>
    <w:family w:val="auto"/>
    <w:notTrueType/>
    <w:pitch w:val="variable"/>
    <w:sig w:usb0="00000003" w:usb1="00000000" w:usb2="00000000" w:usb3="00000000" w:csb0="00000001" w:csb1="00000000"/>
  </w:font>
  <w:font w:name="ヒラギノ角ゴ Pro W3">
    <w:altName w:val="MS Gothic"/>
    <w:panose1 w:val="00000000000000000000"/>
    <w:charset w:val="80"/>
    <w:family w:val="auto"/>
    <w:notTrueType/>
    <w:pitch w:val="variable"/>
    <w:sig w:usb0="00000001"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Helvetica Neue">
    <w:altName w:val="Times New Roman"/>
    <w:charset w:val="00"/>
    <w:family w:val="auto"/>
    <w:pitch w:val="variable"/>
    <w:sig w:usb0="E50002FF" w:usb1="500079DB" w:usb2="00000010" w:usb3="00000000" w:csb0="00000001" w:csb1="00000000"/>
  </w:font>
  <w:font w:name="Arial Unicode MS">
    <w:panose1 w:val="020B0604020202020204"/>
    <w:charset w:val="80"/>
    <w:family w:val="swiss"/>
    <w:pitch w:val="variable"/>
    <w:sig w:usb0="F7FFAFFF" w:usb1="E9DFFFFF" w:usb2="0000003F" w:usb3="00000000" w:csb0="003F01FF" w:csb1="00000000"/>
  </w:font>
  <w:font w:name="Gill Sans MT">
    <w:panose1 w:val="020B0502020104020203"/>
    <w:charset w:val="00"/>
    <w:family w:val="swiss"/>
    <w:pitch w:val="variable"/>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377B95" w14:textId="77777777" w:rsidR="00C60AFB" w:rsidRDefault="00C60AFB">
    <w:pPr>
      <w:pStyle w:val="Piedepgina"/>
      <w:framePr w:wrap="around" w:vAnchor="text" w:hAnchor="margin" w:xAlign="center" w:y="1"/>
      <w:rPr>
        <w:rStyle w:val="Nmerodepgina"/>
      </w:rPr>
    </w:pPr>
    <w:r>
      <w:rPr>
        <w:rStyle w:val="Nmerodepgina"/>
      </w:rPr>
      <w:fldChar w:fldCharType="begin"/>
    </w:r>
    <w:r>
      <w:rPr>
        <w:rStyle w:val="Nmerodepgina"/>
      </w:rPr>
      <w:instrText xml:space="preserve">PAGE  </w:instrText>
    </w:r>
    <w:r>
      <w:rPr>
        <w:rStyle w:val="Nmerodepgina"/>
      </w:rPr>
      <w:fldChar w:fldCharType="end"/>
    </w:r>
  </w:p>
  <w:p w14:paraId="278CF04D" w14:textId="77777777" w:rsidR="00C60AFB" w:rsidRDefault="00C60AFB">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92BB41" w14:textId="37F3030E" w:rsidR="00C60AFB" w:rsidRPr="009C573E" w:rsidRDefault="00C60AFB">
    <w:pPr>
      <w:pStyle w:val="Piedepgina"/>
      <w:jc w:val="center"/>
      <w:rPr>
        <w:rFonts w:ascii="Arial" w:hAnsi="Arial" w:cs="Arial"/>
        <w:b/>
        <w:sz w:val="16"/>
        <w:szCs w:val="16"/>
      </w:rPr>
    </w:pPr>
    <w:r w:rsidRPr="009C573E">
      <w:rPr>
        <w:rFonts w:ascii="Arial" w:hAnsi="Arial" w:cs="Arial"/>
        <w:b/>
        <w:sz w:val="16"/>
        <w:szCs w:val="16"/>
      </w:rPr>
      <w:fldChar w:fldCharType="begin"/>
    </w:r>
    <w:r w:rsidRPr="009C573E">
      <w:rPr>
        <w:rFonts w:ascii="Arial" w:hAnsi="Arial" w:cs="Arial"/>
        <w:b/>
        <w:sz w:val="16"/>
        <w:szCs w:val="16"/>
      </w:rPr>
      <w:instrText>PAGE   \* MERGEFORMAT</w:instrText>
    </w:r>
    <w:r w:rsidRPr="009C573E">
      <w:rPr>
        <w:rFonts w:ascii="Arial" w:hAnsi="Arial" w:cs="Arial"/>
        <w:b/>
        <w:sz w:val="16"/>
        <w:szCs w:val="16"/>
      </w:rPr>
      <w:fldChar w:fldCharType="separate"/>
    </w:r>
    <w:r w:rsidR="00EB13A7" w:rsidRPr="00EB13A7">
      <w:rPr>
        <w:rFonts w:ascii="Arial" w:hAnsi="Arial" w:cs="Arial"/>
        <w:b/>
        <w:noProof/>
        <w:sz w:val="16"/>
        <w:szCs w:val="16"/>
        <w:lang w:val="es-ES"/>
      </w:rPr>
      <w:t>9</w:t>
    </w:r>
    <w:r w:rsidRPr="009C573E">
      <w:rPr>
        <w:rFonts w:ascii="Arial" w:hAnsi="Arial" w:cs="Arial"/>
        <w:b/>
        <w:sz w:val="16"/>
        <w:szCs w:val="16"/>
      </w:rPr>
      <w:fldChar w:fldCharType="end"/>
    </w:r>
  </w:p>
  <w:p w14:paraId="2A268AA6" w14:textId="77777777" w:rsidR="00C60AFB" w:rsidRDefault="00C60AFB">
    <w:pPr>
      <w:pStyle w:val="Piedepgina"/>
      <w:rPr>
        <w:sz w:val="14"/>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vertAnchor="text" w:horzAnchor="margin" w:tblpXSpec="right" w:tblpY="1"/>
      <w:tblOverlap w:val="never"/>
      <w:tblW w:w="10723" w:type="dxa"/>
      <w:tblBorders>
        <w:insideV w:val="single" w:sz="4" w:space="0" w:color="auto"/>
      </w:tblBorders>
      <w:tblCellMar>
        <w:left w:w="70" w:type="dxa"/>
        <w:right w:w="70" w:type="dxa"/>
      </w:tblCellMar>
      <w:tblLook w:val="0000" w:firstRow="0" w:lastRow="0" w:firstColumn="0" w:lastColumn="0" w:noHBand="0" w:noVBand="0"/>
    </w:tblPr>
    <w:tblGrid>
      <w:gridCol w:w="7725"/>
      <w:gridCol w:w="2998"/>
    </w:tblGrid>
    <w:tr w:rsidR="00C60AFB" w14:paraId="4DA27239" w14:textId="77777777">
      <w:tc>
        <w:tcPr>
          <w:tcW w:w="7725" w:type="dxa"/>
          <w:vAlign w:val="bottom"/>
        </w:tcPr>
        <w:p w14:paraId="658FDC10" w14:textId="77777777" w:rsidR="00C60AFB" w:rsidRDefault="00C60AFB" w:rsidP="00C60AFB">
          <w:pPr>
            <w:pStyle w:val="Textonotapie"/>
            <w:tabs>
              <w:tab w:val="left" w:pos="1021"/>
              <w:tab w:val="left" w:pos="8080"/>
            </w:tabs>
            <w:rPr>
              <w:rFonts w:ascii="Gill Sans MT" w:hAnsi="Gill Sans MT" w:cs="Arial"/>
              <w:sz w:val="14"/>
            </w:rPr>
          </w:pPr>
        </w:p>
      </w:tc>
      <w:tc>
        <w:tcPr>
          <w:tcW w:w="2998" w:type="dxa"/>
        </w:tcPr>
        <w:p w14:paraId="5AFA4128" w14:textId="77777777" w:rsidR="00C60AFB" w:rsidRDefault="00C60AFB">
          <w:pPr>
            <w:pStyle w:val="Textonotapie"/>
            <w:tabs>
              <w:tab w:val="left" w:pos="1915"/>
              <w:tab w:val="left" w:pos="8080"/>
            </w:tabs>
            <w:ind w:right="-42"/>
            <w:rPr>
              <w:rFonts w:ascii="Gill Sans MT" w:hAnsi="Gill Sans MT" w:cs="Arial"/>
              <w:sz w:val="14"/>
            </w:rPr>
          </w:pPr>
        </w:p>
      </w:tc>
    </w:tr>
  </w:tbl>
  <w:p w14:paraId="6C04D49D" w14:textId="77777777" w:rsidR="00C60AFB" w:rsidRDefault="00C60AFB">
    <w:pPr>
      <w:pStyle w:val="Piedepgina"/>
    </w:pPr>
    <w:r>
      <w:rPr>
        <w:noProof/>
        <w:lang w:val="es-ES"/>
      </w:rPr>
      <mc:AlternateContent>
        <mc:Choice Requires="wps">
          <w:drawing>
            <wp:anchor distT="0" distB="0" distL="114300" distR="114300" simplePos="0" relativeHeight="251659264" behindDoc="0" locked="0" layoutInCell="0" allowOverlap="1" wp14:anchorId="730CACB6" wp14:editId="484AC2C5">
              <wp:simplePos x="0" y="0"/>
              <wp:positionH relativeFrom="column">
                <wp:posOffset>4771390</wp:posOffset>
              </wp:positionH>
              <wp:positionV relativeFrom="paragraph">
                <wp:posOffset>-217170</wp:posOffset>
              </wp:positionV>
              <wp:extent cx="1438910" cy="456565"/>
              <wp:effectExtent l="0" t="0" r="0" b="0"/>
              <wp:wrapNone/>
              <wp:docPr id="1" name="Rectangle 3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438910" cy="45656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695918B" id="Rectangle 37" o:spid="_x0000_s1026" style="position:absolute;margin-left:375.7pt;margin-top:-17.1pt;width:113.3pt;height:35.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" o:allowincell="f" filled="f" stroked="f"/>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61A9708" w14:textId="77777777" w:rsidR="005A22AC" w:rsidRDefault="005A22AC">
      <w:pPr>
        <w:spacing w:after="0" w:line="240" w:lineRule="auto"/>
      </w:pPr>
      <w:r>
        <w:separator/>
      </w:r>
    </w:p>
  </w:footnote>
  <w:footnote w:type="continuationSeparator" w:id="0">
    <w:p w14:paraId="7FE7DCAF" w14:textId="77777777" w:rsidR="005A22AC" w:rsidRDefault="005A22AC">
      <w:pPr>
        <w:spacing w:after="0" w:line="240" w:lineRule="auto"/>
      </w:pPr>
      <w:r>
        <w:continuationSeparator/>
      </w:r>
    </w:p>
  </w:footnote>
  <w:footnote w:id="1">
    <w:p w14:paraId="091E7E8A" w14:textId="77777777" w:rsidR="00317A19" w:rsidRDefault="00317A19" w:rsidP="00317A19">
      <w:pPr>
        <w:pStyle w:val="Textonotapie"/>
      </w:pPr>
      <w:r>
        <w:rPr>
          <w:rStyle w:val="Refdenotaalpie"/>
        </w:rPr>
        <w:footnoteRef/>
      </w:r>
      <w:r>
        <w:t xml:space="preserve"> </w:t>
      </w:r>
      <w:r w:rsidRPr="00AD79BE">
        <w:t>Centro de Investigaciones Energéticas, Medioambientales y Tecnológicas</w:t>
      </w:r>
      <w:r>
        <w:t>.</w:t>
      </w:r>
    </w:p>
  </w:footnote>
  <w:footnote w:id="2">
    <w:p w14:paraId="71E938D7" w14:textId="77777777" w:rsidR="00317A19" w:rsidRDefault="00317A19" w:rsidP="00317A19">
      <w:pPr>
        <w:pStyle w:val="Textonotapie"/>
      </w:pPr>
      <w:r>
        <w:rPr>
          <w:rStyle w:val="Refdenotaalpie"/>
        </w:rPr>
        <w:footnoteRef/>
      </w:r>
      <w:r>
        <w:t xml:space="preserve"> </w:t>
      </w:r>
      <w:r w:rsidRPr="00AD79BE">
        <w:t>Institut de Ciències del Cosmos de la Universitat de Barcelona.</w:t>
      </w:r>
    </w:p>
  </w:footnote>
  <w:footnote w:id="3">
    <w:p w14:paraId="1B367F9A" w14:textId="77777777" w:rsidR="00317A19" w:rsidRDefault="00317A19" w:rsidP="00317A19">
      <w:pPr>
        <w:pStyle w:val="Textonotapie"/>
      </w:pPr>
      <w:r>
        <w:rPr>
          <w:rStyle w:val="Refdenotaalpie"/>
        </w:rPr>
        <w:footnoteRef/>
      </w:r>
      <w:r>
        <w:t xml:space="preserve"> </w:t>
      </w:r>
      <w:r w:rsidRPr="00AD79BE">
        <w:t>Instituto de Física Teórica</w:t>
      </w:r>
      <w:r>
        <w:t xml:space="preserve"> (</w:t>
      </w:r>
      <w:r w:rsidRPr="00952843">
        <w:t>centro mixto del Consejo Superior de Investigaciones Científicas (CSIC) y la Universidad Autónoma de Madrid</w:t>
      </w:r>
      <w:r>
        <w:t>).</w:t>
      </w:r>
    </w:p>
  </w:footnote>
  <w:footnote w:id="4">
    <w:p w14:paraId="69E905B9" w14:textId="77777777" w:rsidR="0003099F" w:rsidRDefault="0003099F" w:rsidP="0003099F">
      <w:pPr>
        <w:pStyle w:val="Textonotapie"/>
      </w:pPr>
      <w:r>
        <w:rPr>
          <w:rStyle w:val="Refdenotaalpie"/>
        </w:rPr>
        <w:footnoteRef/>
      </w:r>
      <w:r>
        <w:t xml:space="preserve"> </w:t>
      </w:r>
      <w:r w:rsidRPr="00AD79BE">
        <w:t>Centro de Investigaciones Energéticas, Medioambientales y Tecnológicas</w:t>
      </w:r>
      <w:r>
        <w:t>.</w:t>
      </w:r>
    </w:p>
  </w:footnote>
  <w:footnote w:id="5">
    <w:p w14:paraId="2B8D8671" w14:textId="77777777" w:rsidR="0003099F" w:rsidRDefault="0003099F" w:rsidP="0003099F">
      <w:pPr>
        <w:pStyle w:val="Textonotapie"/>
      </w:pPr>
      <w:r>
        <w:rPr>
          <w:rStyle w:val="Refdenotaalpie"/>
        </w:rPr>
        <w:footnoteRef/>
      </w:r>
      <w:r>
        <w:t xml:space="preserve"> </w:t>
      </w:r>
      <w:r w:rsidRPr="00AD79BE">
        <w:t>Institut de Ciències del Cosmos de la Universitat de Barcelona.</w:t>
      </w:r>
    </w:p>
  </w:footnote>
  <w:footnote w:id="6">
    <w:p w14:paraId="6F6B56AB" w14:textId="77777777" w:rsidR="0003099F" w:rsidRDefault="0003099F" w:rsidP="0003099F">
      <w:pPr>
        <w:pStyle w:val="Textonotapie"/>
      </w:pPr>
      <w:r>
        <w:rPr>
          <w:rStyle w:val="Refdenotaalpie"/>
        </w:rPr>
        <w:footnoteRef/>
      </w:r>
      <w:r>
        <w:t xml:space="preserve"> </w:t>
      </w:r>
      <w:r w:rsidRPr="00AD79BE">
        <w:t>Instituto de Física Teórica</w:t>
      </w:r>
      <w:r>
        <w:t xml:space="preserve"> (</w:t>
      </w:r>
      <w:r w:rsidRPr="00952843">
        <w:t>centro mixto del Consejo Superior de Investigaciones Científicas (CSIC) y la Universidad Autónoma de Madrid</w:t>
      </w:r>
      <w: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A3F7E4" w14:textId="77777777" w:rsidR="00C60AFB" w:rsidRDefault="00C60AFB">
    <w:pPr>
      <w:pStyle w:val="Encabezado"/>
      <w:framePr w:wrap="around" w:vAnchor="text" w:hAnchor="margin"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14:paraId="6769896B" w14:textId="77777777" w:rsidR="00C60AFB" w:rsidRDefault="00C60AFB">
    <w:pPr>
      <w:pStyle w:val="Encabezado"/>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CEE74D" w14:textId="77777777" w:rsidR="00C60AFB" w:rsidRDefault="00C60AFB">
    <w:pPr>
      <w:pStyle w:val="Encabezado"/>
      <w:tabs>
        <w:tab w:val="clear" w:pos="8504"/>
      </w:tabs>
      <w:ind w:right="-87"/>
      <w:jc w:val="right"/>
    </w:pPr>
    <w:r>
      <w:rPr>
        <w:noProof/>
        <w:lang w:val="es-ES"/>
      </w:rPr>
      <mc:AlternateContent>
        <mc:Choice Requires="wps">
          <w:drawing>
            <wp:anchor distT="0" distB="0" distL="114300" distR="114300" simplePos="0" relativeHeight="251660288" behindDoc="0" locked="0" layoutInCell="1" allowOverlap="1" wp14:anchorId="0C2EE4A2" wp14:editId="7E05D1EC">
              <wp:simplePos x="0" y="0"/>
              <wp:positionH relativeFrom="column">
                <wp:posOffset>6041390</wp:posOffset>
              </wp:positionH>
              <wp:positionV relativeFrom="paragraph">
                <wp:posOffset>823595</wp:posOffset>
              </wp:positionV>
              <wp:extent cx="868680" cy="0"/>
              <wp:effectExtent l="0" t="0" r="0" b="0"/>
              <wp:wrapNone/>
              <wp:docPr id="2" name="Line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6868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D160EC8" id="Line 59" o:spid="_x0000_s1026" style="position:absolute;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75.7pt,64.85pt" to="544.1pt,6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"/>
          </w:pict>
        </mc:Fallback>
      </mc:AlternateContent>
    </w:r>
    <w:r>
      <w:rPr>
        <w:noProof/>
        <w:lang w:val="es-ES"/>
      </w:rPr>
      <w:drawing>
        <wp:inline distT="0" distB="0" distL="0" distR="0" wp14:anchorId="405337FB" wp14:editId="53976BBA">
          <wp:extent cx="838200" cy="876300"/>
          <wp:effectExtent l="0" t="0" r="0" b="0"/>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a:ln>
                    <a:noFill/>
                  </a:ln>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4AEBD5" w14:textId="77777777" w:rsidR="00C60AFB" w:rsidRDefault="00C60AFB">
    <w:pPr>
      <w:ind w:right="-185"/>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12774C"/>
    <w:multiLevelType w:val="hybridMultilevel"/>
    <w:tmpl w:val="A552C478"/>
    <w:lvl w:ilvl="0" w:tplc="C34E2D8C">
      <w:start w:val="1"/>
      <w:numFmt w:val="bullet"/>
      <w:lvlText w:val="-"/>
      <w:lvlJc w:val="left"/>
      <w:pPr>
        <w:ind w:left="720" w:hanging="360"/>
      </w:pPr>
      <w:rPr>
        <w:rFonts w:ascii="Arial" w:eastAsia="Times New Roman" w:hAnsi="Arial" w:hint="default"/>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50B178D"/>
    <w:multiLevelType w:val="hybridMultilevel"/>
    <w:tmpl w:val="5C42C212"/>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 w15:restartNumberingAfterBreak="0">
    <w:nsid w:val="05291A38"/>
    <w:multiLevelType w:val="hybridMultilevel"/>
    <w:tmpl w:val="8B1ACD8C"/>
    <w:lvl w:ilvl="0" w:tplc="6390E5AC">
      <w:start w:val="1"/>
      <w:numFmt w:val="decimal"/>
      <w:lvlText w:val="(%1)"/>
      <w:lvlJc w:val="left"/>
      <w:pPr>
        <w:ind w:left="720" w:hanging="360"/>
      </w:pPr>
    </w:lvl>
    <w:lvl w:ilvl="1" w:tplc="0C0A0019">
      <w:start w:val="1"/>
      <w:numFmt w:val="lowerLetter"/>
      <w:lvlText w:val="%2."/>
      <w:lvlJc w:val="left"/>
      <w:pPr>
        <w:ind w:left="1440" w:hanging="360"/>
      </w:pPr>
    </w:lvl>
    <w:lvl w:ilvl="2" w:tplc="0C0A001B">
      <w:start w:val="1"/>
      <w:numFmt w:val="lowerRoman"/>
      <w:lvlText w:val="%3."/>
      <w:lvlJc w:val="right"/>
      <w:pPr>
        <w:ind w:left="2160" w:hanging="180"/>
      </w:pPr>
    </w:lvl>
    <w:lvl w:ilvl="3" w:tplc="0C0A000F">
      <w:start w:val="1"/>
      <w:numFmt w:val="decimal"/>
      <w:lvlText w:val="%4."/>
      <w:lvlJc w:val="left"/>
      <w:pPr>
        <w:ind w:left="2880" w:hanging="360"/>
      </w:pPr>
    </w:lvl>
    <w:lvl w:ilvl="4" w:tplc="0C0A0019">
      <w:start w:val="1"/>
      <w:numFmt w:val="lowerLetter"/>
      <w:lvlText w:val="%5."/>
      <w:lvlJc w:val="left"/>
      <w:pPr>
        <w:ind w:left="3600" w:hanging="360"/>
      </w:pPr>
    </w:lvl>
    <w:lvl w:ilvl="5" w:tplc="0C0A001B">
      <w:start w:val="1"/>
      <w:numFmt w:val="lowerRoman"/>
      <w:lvlText w:val="%6."/>
      <w:lvlJc w:val="right"/>
      <w:pPr>
        <w:ind w:left="4320" w:hanging="180"/>
      </w:pPr>
    </w:lvl>
    <w:lvl w:ilvl="6" w:tplc="0C0A000F">
      <w:start w:val="1"/>
      <w:numFmt w:val="decimal"/>
      <w:lvlText w:val="%7."/>
      <w:lvlJc w:val="left"/>
      <w:pPr>
        <w:ind w:left="5040" w:hanging="360"/>
      </w:pPr>
    </w:lvl>
    <w:lvl w:ilvl="7" w:tplc="0C0A0019">
      <w:start w:val="1"/>
      <w:numFmt w:val="lowerLetter"/>
      <w:lvlText w:val="%8."/>
      <w:lvlJc w:val="left"/>
      <w:pPr>
        <w:ind w:left="5760" w:hanging="360"/>
      </w:pPr>
    </w:lvl>
    <w:lvl w:ilvl="8" w:tplc="0C0A001B">
      <w:start w:val="1"/>
      <w:numFmt w:val="lowerRoman"/>
      <w:lvlText w:val="%9."/>
      <w:lvlJc w:val="right"/>
      <w:pPr>
        <w:ind w:left="6480" w:hanging="180"/>
      </w:pPr>
    </w:lvl>
  </w:abstractNum>
  <w:abstractNum w:abstractNumId="3" w15:restartNumberingAfterBreak="0">
    <w:nsid w:val="0A1A2D73"/>
    <w:multiLevelType w:val="hybridMultilevel"/>
    <w:tmpl w:val="811ECEEC"/>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0B1303AF"/>
    <w:multiLevelType w:val="hybridMultilevel"/>
    <w:tmpl w:val="16E8027E"/>
    <w:lvl w:ilvl="0" w:tplc="FCEA4150">
      <w:start w:val="1"/>
      <w:numFmt w:val="lowerLetter"/>
      <w:lvlText w:val="%1)"/>
      <w:lvlJc w:val="left"/>
      <w:pPr>
        <w:ind w:left="1065" w:hanging="70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0E8420FD"/>
    <w:multiLevelType w:val="hybridMultilevel"/>
    <w:tmpl w:val="93D4CE72"/>
    <w:lvl w:ilvl="0" w:tplc="0C0A000B">
      <w:start w:val="1"/>
      <w:numFmt w:val="bullet"/>
      <w:lvlText w:val=""/>
      <w:lvlJc w:val="left"/>
      <w:pPr>
        <w:ind w:left="720" w:hanging="360"/>
      </w:pPr>
      <w:rPr>
        <w:rFonts w:ascii="Wingdings" w:hAnsi="Wingdings" w:hint="default"/>
      </w:rPr>
    </w:lvl>
    <w:lvl w:ilvl="1" w:tplc="040A0003" w:tentative="1">
      <w:start w:val="1"/>
      <w:numFmt w:val="bullet"/>
      <w:lvlText w:val="o"/>
      <w:lvlJc w:val="left"/>
      <w:pPr>
        <w:ind w:left="1440" w:hanging="360"/>
      </w:pPr>
      <w:rPr>
        <w:rFonts w:ascii="Courier New" w:hAnsi="Courier New" w:cs="Courier New" w:hint="default"/>
      </w:rPr>
    </w:lvl>
    <w:lvl w:ilvl="2" w:tplc="040A0005" w:tentative="1">
      <w:start w:val="1"/>
      <w:numFmt w:val="bullet"/>
      <w:lvlText w:val=""/>
      <w:lvlJc w:val="left"/>
      <w:pPr>
        <w:ind w:left="2160" w:hanging="360"/>
      </w:pPr>
      <w:rPr>
        <w:rFonts w:ascii="Wingdings" w:hAnsi="Wingdings" w:hint="default"/>
      </w:rPr>
    </w:lvl>
    <w:lvl w:ilvl="3" w:tplc="040A0001" w:tentative="1">
      <w:start w:val="1"/>
      <w:numFmt w:val="bullet"/>
      <w:lvlText w:val=""/>
      <w:lvlJc w:val="left"/>
      <w:pPr>
        <w:ind w:left="2880" w:hanging="360"/>
      </w:pPr>
      <w:rPr>
        <w:rFonts w:ascii="Symbol" w:hAnsi="Symbol" w:hint="default"/>
      </w:rPr>
    </w:lvl>
    <w:lvl w:ilvl="4" w:tplc="040A0003" w:tentative="1">
      <w:start w:val="1"/>
      <w:numFmt w:val="bullet"/>
      <w:lvlText w:val="o"/>
      <w:lvlJc w:val="left"/>
      <w:pPr>
        <w:ind w:left="3600" w:hanging="360"/>
      </w:pPr>
      <w:rPr>
        <w:rFonts w:ascii="Courier New" w:hAnsi="Courier New" w:cs="Courier New" w:hint="default"/>
      </w:rPr>
    </w:lvl>
    <w:lvl w:ilvl="5" w:tplc="040A0005" w:tentative="1">
      <w:start w:val="1"/>
      <w:numFmt w:val="bullet"/>
      <w:lvlText w:val=""/>
      <w:lvlJc w:val="left"/>
      <w:pPr>
        <w:ind w:left="4320" w:hanging="360"/>
      </w:pPr>
      <w:rPr>
        <w:rFonts w:ascii="Wingdings" w:hAnsi="Wingdings" w:hint="default"/>
      </w:rPr>
    </w:lvl>
    <w:lvl w:ilvl="6" w:tplc="040A0001" w:tentative="1">
      <w:start w:val="1"/>
      <w:numFmt w:val="bullet"/>
      <w:lvlText w:val=""/>
      <w:lvlJc w:val="left"/>
      <w:pPr>
        <w:ind w:left="5040" w:hanging="360"/>
      </w:pPr>
      <w:rPr>
        <w:rFonts w:ascii="Symbol" w:hAnsi="Symbol" w:hint="default"/>
      </w:rPr>
    </w:lvl>
    <w:lvl w:ilvl="7" w:tplc="040A0003" w:tentative="1">
      <w:start w:val="1"/>
      <w:numFmt w:val="bullet"/>
      <w:lvlText w:val="o"/>
      <w:lvlJc w:val="left"/>
      <w:pPr>
        <w:ind w:left="5760" w:hanging="360"/>
      </w:pPr>
      <w:rPr>
        <w:rFonts w:ascii="Courier New" w:hAnsi="Courier New" w:cs="Courier New" w:hint="default"/>
      </w:rPr>
    </w:lvl>
    <w:lvl w:ilvl="8" w:tplc="040A0005" w:tentative="1">
      <w:start w:val="1"/>
      <w:numFmt w:val="bullet"/>
      <w:lvlText w:val=""/>
      <w:lvlJc w:val="left"/>
      <w:pPr>
        <w:ind w:left="6480" w:hanging="360"/>
      </w:pPr>
      <w:rPr>
        <w:rFonts w:ascii="Wingdings" w:hAnsi="Wingdings" w:hint="default"/>
      </w:rPr>
    </w:lvl>
  </w:abstractNum>
  <w:abstractNum w:abstractNumId="6" w15:restartNumberingAfterBreak="0">
    <w:nsid w:val="145A0786"/>
    <w:multiLevelType w:val="hybridMultilevel"/>
    <w:tmpl w:val="6CB615EE"/>
    <w:lvl w:ilvl="0" w:tplc="0C0A0019">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16DD44A4"/>
    <w:multiLevelType w:val="hybridMultilevel"/>
    <w:tmpl w:val="38D227C0"/>
    <w:lvl w:ilvl="0" w:tplc="2BDE3644">
      <w:start w:val="4"/>
      <w:numFmt w:val="bullet"/>
      <w:lvlText w:val="-"/>
      <w:lvlJc w:val="left"/>
      <w:pPr>
        <w:ind w:left="928"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A2D733D"/>
    <w:multiLevelType w:val="hybridMultilevel"/>
    <w:tmpl w:val="6BC28AB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9" w15:restartNumberingAfterBreak="0">
    <w:nsid w:val="1EF835A1"/>
    <w:multiLevelType w:val="hybridMultilevel"/>
    <w:tmpl w:val="D256DB68"/>
    <w:lvl w:ilvl="0" w:tplc="0C0A000F">
      <w:start w:val="1"/>
      <w:numFmt w:val="decimal"/>
      <w:lvlText w:val="%1."/>
      <w:lvlJc w:val="left"/>
      <w:pPr>
        <w:ind w:left="720" w:hanging="360"/>
      </w:pPr>
      <w:rPr>
        <w:rFonts w:hint="default"/>
      </w:rPr>
    </w:lvl>
    <w:lvl w:ilvl="1" w:tplc="0C0A0019">
      <w:start w:val="1"/>
      <w:numFmt w:val="lowerLetter"/>
      <w:lvlText w:val="%2."/>
      <w:lvlJc w:val="left"/>
      <w:pPr>
        <w:ind w:left="644"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4120014"/>
    <w:multiLevelType w:val="hybridMultilevel"/>
    <w:tmpl w:val="6214204A"/>
    <w:lvl w:ilvl="0" w:tplc="C4240CC6">
      <w:numFmt w:val="bullet"/>
      <w:lvlText w:val="-"/>
      <w:lvlJc w:val="left"/>
      <w:pPr>
        <w:ind w:left="720" w:hanging="360"/>
      </w:pPr>
      <w:rPr>
        <w:rFonts w:ascii="Arial" w:eastAsia="Times New Roman" w:hAnsi="Arial" w:cs="Arial" w:hint="default"/>
      </w:rPr>
    </w:lvl>
    <w:lvl w:ilvl="1" w:tplc="0C0A0003">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37D704A0"/>
    <w:multiLevelType w:val="hybridMultilevel"/>
    <w:tmpl w:val="60AABBC6"/>
    <w:lvl w:ilvl="0" w:tplc="0C0A0019">
      <w:start w:val="1"/>
      <w:numFmt w:val="lowerLetter"/>
      <w:lvlText w:val="%1."/>
      <w:lvlJc w:val="left"/>
      <w:pPr>
        <w:ind w:left="720" w:hanging="360"/>
      </w:p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2" w15:restartNumberingAfterBreak="0">
    <w:nsid w:val="3DE66DE8"/>
    <w:multiLevelType w:val="hybridMultilevel"/>
    <w:tmpl w:val="377C1CAE"/>
    <w:lvl w:ilvl="0" w:tplc="2BDE3644">
      <w:start w:val="4"/>
      <w:numFmt w:val="bullet"/>
      <w:lvlText w:val="-"/>
      <w:lvlJc w:val="left"/>
      <w:pPr>
        <w:ind w:left="720" w:hanging="360"/>
      </w:pPr>
      <w:rPr>
        <w:rFonts w:ascii="Arial" w:eastAsia="Times New Roman" w:hAnsi="Aria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15:restartNumberingAfterBreak="0">
    <w:nsid w:val="4C644E3B"/>
    <w:multiLevelType w:val="hybridMultilevel"/>
    <w:tmpl w:val="8B7EDF1C"/>
    <w:lvl w:ilvl="0" w:tplc="FFC0317A">
      <w:start w:val="1"/>
      <w:numFmt w:val="lowerLetter"/>
      <w:lvlText w:val="%1)"/>
      <w:lvlJc w:val="left"/>
      <w:pPr>
        <w:ind w:left="1080" w:hanging="360"/>
      </w:pPr>
      <w:rPr>
        <w:rFonts w:hint="default"/>
      </w:rPr>
    </w:lvl>
    <w:lvl w:ilvl="1" w:tplc="0C0A0019">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14" w15:restartNumberingAfterBreak="0">
    <w:nsid w:val="5BEF3BD5"/>
    <w:multiLevelType w:val="hybridMultilevel"/>
    <w:tmpl w:val="4678C28A"/>
    <w:lvl w:ilvl="0" w:tplc="0C0A0017">
      <w:start w:val="1"/>
      <w:numFmt w:val="lowerLetter"/>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5D3B64E4"/>
    <w:multiLevelType w:val="hybridMultilevel"/>
    <w:tmpl w:val="43DA8478"/>
    <w:lvl w:ilvl="0" w:tplc="262CCFBC">
      <w:start w:val="1"/>
      <w:numFmt w:val="bullet"/>
      <w:lvlText w:val="-"/>
      <w:lvlJc w:val="left"/>
      <w:pPr>
        <w:tabs>
          <w:tab w:val="num" w:pos="720"/>
        </w:tabs>
        <w:ind w:left="720" w:hanging="360"/>
      </w:pPr>
      <w:rPr>
        <w:rFonts w:ascii="Arial" w:eastAsia="Times New Roman" w:hAnsi="Arial" w:cs="Arial" w:hint="default"/>
      </w:rPr>
    </w:lvl>
    <w:lvl w:ilvl="1" w:tplc="0C0A000B">
      <w:start w:val="1"/>
      <w:numFmt w:val="bullet"/>
      <w:lvlText w:val=""/>
      <w:lvlJc w:val="left"/>
      <w:pPr>
        <w:tabs>
          <w:tab w:val="num" w:pos="1440"/>
        </w:tabs>
        <w:ind w:left="1440" w:hanging="360"/>
      </w:pPr>
      <w:rPr>
        <w:rFonts w:ascii="Wingdings" w:hAnsi="Wingdings"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DFE2746"/>
    <w:multiLevelType w:val="hybridMultilevel"/>
    <w:tmpl w:val="8126F552"/>
    <w:lvl w:ilvl="0" w:tplc="E1343710">
      <w:start w:val="1"/>
      <w:numFmt w:val="lowerLetter"/>
      <w:lvlText w:val="%1."/>
      <w:lvlJc w:val="left"/>
      <w:pPr>
        <w:ind w:left="360" w:hanging="360"/>
      </w:pPr>
      <w:rPr>
        <w:rFonts w:ascii="Calibri" w:eastAsia="Times New Roman" w:hAnsi="Calibri" w:cs="Calibri"/>
        <w:color w:val="auto"/>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7" w15:restartNumberingAfterBreak="0">
    <w:nsid w:val="5FF74FCC"/>
    <w:multiLevelType w:val="hybridMultilevel"/>
    <w:tmpl w:val="0892433E"/>
    <w:lvl w:ilvl="0" w:tplc="A030CF9E">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64501283"/>
    <w:multiLevelType w:val="hybridMultilevel"/>
    <w:tmpl w:val="B4C815A0"/>
    <w:lvl w:ilvl="0" w:tplc="0A3A9736">
      <w:start w:val="1"/>
      <w:numFmt w:val="decimal"/>
      <w:lvlText w:val="%1."/>
      <w:lvlJc w:val="left"/>
      <w:pPr>
        <w:ind w:left="720" w:hanging="360"/>
      </w:pPr>
      <w:rPr>
        <w:rFonts w:ascii="Arial" w:eastAsia="Times New Roman" w:hAnsi="Arial" w:cs="Arial"/>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9" w15:restartNumberingAfterBreak="0">
    <w:nsid w:val="6B932A9B"/>
    <w:multiLevelType w:val="hybridMultilevel"/>
    <w:tmpl w:val="318896D8"/>
    <w:lvl w:ilvl="0" w:tplc="A030CF9E">
      <w:start w:val="1"/>
      <w:numFmt w:val="bullet"/>
      <w:lvlText w:val=""/>
      <w:lvlJc w:val="left"/>
      <w:pPr>
        <w:ind w:left="360" w:hanging="360"/>
      </w:pPr>
      <w:rPr>
        <w:rFonts w:ascii="Symbol" w:hAnsi="Symbol"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17">
      <w:start w:val="1"/>
      <w:numFmt w:val="lowerLetter"/>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20" w15:restartNumberingAfterBreak="0">
    <w:nsid w:val="6DAF3062"/>
    <w:multiLevelType w:val="hybridMultilevel"/>
    <w:tmpl w:val="C6D42B2C"/>
    <w:lvl w:ilvl="0" w:tplc="47E22EF4">
      <w:start w:val="1"/>
      <w:numFmt w:val="bullet"/>
      <w:lvlText w:val=""/>
      <w:lvlJc w:val="left"/>
      <w:pPr>
        <w:ind w:left="360" w:hanging="360"/>
      </w:pPr>
      <w:rPr>
        <w:rFonts w:ascii="Wingdings" w:eastAsia="Times New Roman" w:hAnsi="Wingdings" w:cs="Calibri" w:hint="default"/>
      </w:rPr>
    </w:lvl>
    <w:lvl w:ilvl="1" w:tplc="0C0A0003">
      <w:start w:val="1"/>
      <w:numFmt w:val="bullet"/>
      <w:lvlText w:val="o"/>
      <w:lvlJc w:val="left"/>
      <w:pPr>
        <w:ind w:left="1080" w:hanging="360"/>
      </w:pPr>
      <w:rPr>
        <w:rFonts w:ascii="Courier New" w:hAnsi="Courier New" w:cs="Courier New" w:hint="default"/>
      </w:rPr>
    </w:lvl>
    <w:lvl w:ilvl="2" w:tplc="0C0A0005">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1" w15:restartNumberingAfterBreak="0">
    <w:nsid w:val="6EB56006"/>
    <w:multiLevelType w:val="hybridMultilevel"/>
    <w:tmpl w:val="36BADD62"/>
    <w:lvl w:ilvl="0" w:tplc="A136269E">
      <w:start w:val="1"/>
      <w:numFmt w:val="lowerLetter"/>
      <w:lvlText w:val="%1)"/>
      <w:lvlJc w:val="left"/>
      <w:pPr>
        <w:ind w:left="720" w:hanging="360"/>
      </w:pPr>
      <w:rPr>
        <w:rFonts w:hint="default"/>
        <w:b/>
      </w:rPr>
    </w:lvl>
    <w:lvl w:ilvl="1" w:tplc="0C0A0001">
      <w:start w:val="1"/>
      <w:numFmt w:val="bullet"/>
      <w:lvlText w:val=""/>
      <w:lvlJc w:val="left"/>
      <w:pPr>
        <w:ind w:left="1440" w:hanging="360"/>
      </w:pPr>
      <w:rPr>
        <w:rFonts w:ascii="Symbol" w:hAnsi="Symbol"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15:restartNumberingAfterBreak="0">
    <w:nsid w:val="714C36A9"/>
    <w:multiLevelType w:val="hybridMultilevel"/>
    <w:tmpl w:val="B11E4310"/>
    <w:lvl w:ilvl="0" w:tplc="AE744572">
      <w:start w:val="3"/>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73A26708"/>
    <w:multiLevelType w:val="hybridMultilevel"/>
    <w:tmpl w:val="4AC2435E"/>
    <w:lvl w:ilvl="0" w:tplc="AF18BF4C">
      <w:start w:val="28"/>
      <w:numFmt w:val="bullet"/>
      <w:lvlText w:val="-"/>
      <w:lvlJc w:val="left"/>
      <w:pPr>
        <w:ind w:left="720" w:hanging="360"/>
      </w:pPr>
      <w:rPr>
        <w:rFonts w:ascii="Calibri" w:eastAsia="Times New Roman" w:hAnsi="Calibri" w:cs="Calibr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4" w15:restartNumberingAfterBreak="0">
    <w:nsid w:val="740A63BF"/>
    <w:multiLevelType w:val="hybridMultilevel"/>
    <w:tmpl w:val="6868FCE8"/>
    <w:lvl w:ilvl="0" w:tplc="AB521210">
      <w:numFmt w:val="bullet"/>
      <w:lvlText w:val=""/>
      <w:lvlJc w:val="left"/>
      <w:pPr>
        <w:ind w:left="720" w:hanging="360"/>
      </w:pPr>
      <w:rPr>
        <w:rFonts w:ascii="Symbol" w:eastAsiaTheme="minorHAnsi" w:hAnsi="Symbol" w:cstheme="minorBidi"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771F24CB"/>
    <w:multiLevelType w:val="hybridMultilevel"/>
    <w:tmpl w:val="9E328788"/>
    <w:lvl w:ilvl="0" w:tplc="6D6E9FC4">
      <w:start w:val="1"/>
      <w:numFmt w:val="bullet"/>
      <w:lvlText w:val=""/>
      <w:lvlJc w:val="left"/>
      <w:pPr>
        <w:ind w:left="720" w:hanging="360"/>
      </w:pPr>
      <w:rPr>
        <w:rFonts w:ascii="Symbol" w:hAnsi="Symbol" w:hint="default"/>
        <w:color w:val="auto"/>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6" w15:restartNumberingAfterBreak="0">
    <w:nsid w:val="77BE0A74"/>
    <w:multiLevelType w:val="hybridMultilevel"/>
    <w:tmpl w:val="81564CCA"/>
    <w:lvl w:ilvl="0" w:tplc="AF18BF4C">
      <w:start w:val="28"/>
      <w:numFmt w:val="bullet"/>
      <w:lvlText w:val="-"/>
      <w:lvlJc w:val="left"/>
      <w:pPr>
        <w:ind w:left="360" w:hanging="360"/>
      </w:pPr>
      <w:rPr>
        <w:rFonts w:ascii="Calibri" w:eastAsia="Times New Roman" w:hAnsi="Calibri" w:cs="Calibri" w:hint="default"/>
      </w:rPr>
    </w:lvl>
    <w:lvl w:ilvl="1" w:tplc="0C0A0019">
      <w:start w:val="1"/>
      <w:numFmt w:val="lowerLetter"/>
      <w:lvlText w:val="%2."/>
      <w:lvlJc w:val="left"/>
      <w:pPr>
        <w:ind w:left="1080" w:hanging="360"/>
      </w:pPr>
    </w:lvl>
    <w:lvl w:ilvl="2" w:tplc="0C0A001B">
      <w:start w:val="1"/>
      <w:numFmt w:val="lowerRoman"/>
      <w:lvlText w:val="%3."/>
      <w:lvlJc w:val="right"/>
      <w:pPr>
        <w:ind w:left="1800" w:hanging="180"/>
      </w:pPr>
    </w:lvl>
    <w:lvl w:ilvl="3" w:tplc="0C0A0017">
      <w:start w:val="1"/>
      <w:numFmt w:val="lowerLetter"/>
      <w:lvlText w:val="%4)"/>
      <w:lvlJc w:val="left"/>
      <w:pPr>
        <w:ind w:left="2520" w:hanging="360"/>
      </w:pPr>
    </w:lvl>
    <w:lvl w:ilvl="4" w:tplc="0C0A0019">
      <w:start w:val="1"/>
      <w:numFmt w:val="lowerLetter"/>
      <w:lvlText w:val="%5."/>
      <w:lvlJc w:val="left"/>
      <w:pPr>
        <w:ind w:left="3240" w:hanging="360"/>
      </w:pPr>
    </w:lvl>
    <w:lvl w:ilvl="5" w:tplc="0C0A001B">
      <w:start w:val="1"/>
      <w:numFmt w:val="lowerRoman"/>
      <w:lvlText w:val="%6."/>
      <w:lvlJc w:val="right"/>
      <w:pPr>
        <w:ind w:left="3960" w:hanging="180"/>
      </w:pPr>
    </w:lvl>
    <w:lvl w:ilvl="6" w:tplc="0C0A000F">
      <w:start w:val="1"/>
      <w:numFmt w:val="decimal"/>
      <w:lvlText w:val="%7."/>
      <w:lvlJc w:val="left"/>
      <w:pPr>
        <w:ind w:left="4680" w:hanging="360"/>
      </w:pPr>
    </w:lvl>
    <w:lvl w:ilvl="7" w:tplc="0C0A0019">
      <w:start w:val="1"/>
      <w:numFmt w:val="lowerLetter"/>
      <w:lvlText w:val="%8."/>
      <w:lvlJc w:val="left"/>
      <w:pPr>
        <w:ind w:left="5400" w:hanging="360"/>
      </w:pPr>
    </w:lvl>
    <w:lvl w:ilvl="8" w:tplc="0C0A001B">
      <w:start w:val="1"/>
      <w:numFmt w:val="lowerRoman"/>
      <w:lvlText w:val="%9."/>
      <w:lvlJc w:val="right"/>
      <w:pPr>
        <w:ind w:left="6120" w:hanging="180"/>
      </w:pPr>
    </w:lvl>
  </w:abstractNum>
  <w:abstractNum w:abstractNumId="27" w15:restartNumberingAfterBreak="0">
    <w:nsid w:val="7DA85CDF"/>
    <w:multiLevelType w:val="hybridMultilevel"/>
    <w:tmpl w:val="853253B4"/>
    <w:lvl w:ilvl="0" w:tplc="591E2706">
      <w:start w:val="1"/>
      <w:numFmt w:val="bullet"/>
      <w:lvlText w:val="-"/>
      <w:lvlJc w:val="left"/>
      <w:pPr>
        <w:ind w:left="1069" w:hanging="360"/>
      </w:pPr>
      <w:rPr>
        <w:rFonts w:ascii="Arial" w:eastAsia="Times New Roman" w:hAnsi="Arial" w:cs="Arial" w:hint="default"/>
      </w:rPr>
    </w:lvl>
    <w:lvl w:ilvl="1" w:tplc="0C0A0003">
      <w:start w:val="1"/>
      <w:numFmt w:val="bullet"/>
      <w:lvlText w:val="o"/>
      <w:lvlJc w:val="left"/>
      <w:pPr>
        <w:ind w:left="1789" w:hanging="360"/>
      </w:pPr>
      <w:rPr>
        <w:rFonts w:ascii="Courier New" w:hAnsi="Courier New" w:cs="Courier New" w:hint="default"/>
      </w:rPr>
    </w:lvl>
    <w:lvl w:ilvl="2" w:tplc="0C0A0005">
      <w:start w:val="1"/>
      <w:numFmt w:val="bullet"/>
      <w:lvlText w:val=""/>
      <w:lvlJc w:val="left"/>
      <w:pPr>
        <w:ind w:left="2509" w:hanging="360"/>
      </w:pPr>
      <w:rPr>
        <w:rFonts w:ascii="Wingdings" w:hAnsi="Wingdings" w:hint="default"/>
      </w:rPr>
    </w:lvl>
    <w:lvl w:ilvl="3" w:tplc="0C0A0001">
      <w:start w:val="1"/>
      <w:numFmt w:val="bullet"/>
      <w:lvlText w:val=""/>
      <w:lvlJc w:val="left"/>
      <w:pPr>
        <w:ind w:left="3229" w:hanging="360"/>
      </w:pPr>
      <w:rPr>
        <w:rFonts w:ascii="Symbol" w:hAnsi="Symbol" w:hint="default"/>
      </w:rPr>
    </w:lvl>
    <w:lvl w:ilvl="4" w:tplc="0C0A0003">
      <w:start w:val="1"/>
      <w:numFmt w:val="bullet"/>
      <w:lvlText w:val="o"/>
      <w:lvlJc w:val="left"/>
      <w:pPr>
        <w:ind w:left="3949" w:hanging="360"/>
      </w:pPr>
      <w:rPr>
        <w:rFonts w:ascii="Courier New" w:hAnsi="Courier New" w:cs="Courier New" w:hint="default"/>
      </w:rPr>
    </w:lvl>
    <w:lvl w:ilvl="5" w:tplc="0C0A0005">
      <w:start w:val="1"/>
      <w:numFmt w:val="bullet"/>
      <w:lvlText w:val=""/>
      <w:lvlJc w:val="left"/>
      <w:pPr>
        <w:ind w:left="4669" w:hanging="360"/>
      </w:pPr>
      <w:rPr>
        <w:rFonts w:ascii="Wingdings" w:hAnsi="Wingdings" w:hint="default"/>
      </w:rPr>
    </w:lvl>
    <w:lvl w:ilvl="6" w:tplc="0C0A0001">
      <w:start w:val="1"/>
      <w:numFmt w:val="bullet"/>
      <w:lvlText w:val=""/>
      <w:lvlJc w:val="left"/>
      <w:pPr>
        <w:ind w:left="5389" w:hanging="360"/>
      </w:pPr>
      <w:rPr>
        <w:rFonts w:ascii="Symbol" w:hAnsi="Symbol" w:hint="default"/>
      </w:rPr>
    </w:lvl>
    <w:lvl w:ilvl="7" w:tplc="0C0A0003">
      <w:start w:val="1"/>
      <w:numFmt w:val="bullet"/>
      <w:lvlText w:val="o"/>
      <w:lvlJc w:val="left"/>
      <w:pPr>
        <w:ind w:left="6109" w:hanging="360"/>
      </w:pPr>
      <w:rPr>
        <w:rFonts w:ascii="Courier New" w:hAnsi="Courier New" w:cs="Courier New" w:hint="default"/>
      </w:rPr>
    </w:lvl>
    <w:lvl w:ilvl="8" w:tplc="0C0A0005">
      <w:start w:val="1"/>
      <w:numFmt w:val="bullet"/>
      <w:lvlText w:val=""/>
      <w:lvlJc w:val="left"/>
      <w:pPr>
        <w:ind w:left="6829" w:hanging="360"/>
      </w:pPr>
      <w:rPr>
        <w:rFonts w:ascii="Wingdings" w:hAnsi="Wingdings" w:hint="default"/>
      </w:rPr>
    </w:lvl>
  </w:abstractNum>
  <w:num w:numId="1" w16cid:durableId="1288703683">
    <w:abstractNumId w:val="0"/>
  </w:num>
  <w:num w:numId="2" w16cid:durableId="299041710">
    <w:abstractNumId w:val="15"/>
  </w:num>
  <w:num w:numId="3" w16cid:durableId="130876796">
    <w:abstractNumId w:val="10"/>
  </w:num>
  <w:num w:numId="4" w16cid:durableId="710302449">
    <w:abstractNumId w:val="25"/>
  </w:num>
  <w:num w:numId="5" w16cid:durableId="274483010">
    <w:abstractNumId w:val="7"/>
  </w:num>
  <w:num w:numId="6" w16cid:durableId="2026707311">
    <w:abstractNumId w:val="9"/>
  </w:num>
  <w:num w:numId="7" w16cid:durableId="1922565645">
    <w:abstractNumId w:val="12"/>
  </w:num>
  <w:num w:numId="8" w16cid:durableId="1706517873">
    <w:abstractNumId w:val="6"/>
  </w:num>
  <w:num w:numId="9" w16cid:durableId="371538265">
    <w:abstractNumId w:val="5"/>
  </w:num>
  <w:num w:numId="10" w16cid:durableId="1264608524">
    <w:abstractNumId w:val="13"/>
  </w:num>
  <w:num w:numId="11" w16cid:durableId="1829248778">
    <w:abstractNumId w:val="11"/>
  </w:num>
  <w:num w:numId="12" w16cid:durableId="1859079934">
    <w:abstractNumId w:val="16"/>
  </w:num>
  <w:num w:numId="13" w16cid:durableId="364256510">
    <w:abstractNumId w:val="20"/>
  </w:num>
  <w:num w:numId="14" w16cid:durableId="665594580">
    <w:abstractNumId w:val="27"/>
  </w:num>
  <w:num w:numId="15" w16cid:durableId="887106010">
    <w:abstractNumId w:val="21"/>
  </w:num>
  <w:num w:numId="16" w16cid:durableId="738289518">
    <w:abstractNumId w:val="1"/>
  </w:num>
  <w:num w:numId="17" w16cid:durableId="105665255">
    <w:abstractNumId w:val="4"/>
  </w:num>
  <w:num w:numId="18" w16cid:durableId="1355501689">
    <w:abstractNumId w:val="8"/>
  </w:num>
  <w:num w:numId="19" w16cid:durableId="198010855">
    <w:abstractNumId w:val="14"/>
  </w:num>
  <w:num w:numId="20" w16cid:durableId="185337277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91378517">
    <w:abstractNumId w:val="23"/>
  </w:num>
  <w:num w:numId="22" w16cid:durableId="160313097">
    <w:abstractNumId w:val="19"/>
  </w:num>
  <w:num w:numId="23" w16cid:durableId="1416364956">
    <w:abstractNumId w:val="26"/>
  </w:num>
  <w:num w:numId="24" w16cid:durableId="1737050397">
    <w:abstractNumId w:val="3"/>
  </w:num>
  <w:num w:numId="25" w16cid:durableId="1623800902">
    <w:abstractNumId w:val="17"/>
  </w:num>
  <w:num w:numId="26" w16cid:durableId="60904994">
    <w:abstractNumId w:val="24"/>
  </w:num>
  <w:num w:numId="27" w16cid:durableId="922111167">
    <w:abstractNumId w:val="22"/>
  </w:num>
  <w:num w:numId="28" w16cid:durableId="1029262632">
    <w:abstractNumId w:val="18"/>
  </w:num>
  <w:num w:numId="29" w16cid:durableId="14591795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1186558333">
    <w:abstractNumId w:val="7"/>
  </w:num>
  <w:num w:numId="31" w16cid:durableId="138452609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983508103">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761D"/>
    <w:rsid w:val="00001404"/>
    <w:rsid w:val="000064C8"/>
    <w:rsid w:val="000224A6"/>
    <w:rsid w:val="0003099F"/>
    <w:rsid w:val="00033FDD"/>
    <w:rsid w:val="00050AC6"/>
    <w:rsid w:val="00050ED2"/>
    <w:rsid w:val="000510BE"/>
    <w:rsid w:val="000528EC"/>
    <w:rsid w:val="00052F79"/>
    <w:rsid w:val="0006287F"/>
    <w:rsid w:val="000632DB"/>
    <w:rsid w:val="00070970"/>
    <w:rsid w:val="0008661F"/>
    <w:rsid w:val="00097F72"/>
    <w:rsid w:val="000A0A4E"/>
    <w:rsid w:val="000A2187"/>
    <w:rsid w:val="000B0641"/>
    <w:rsid w:val="000C2BFD"/>
    <w:rsid w:val="000C421C"/>
    <w:rsid w:val="000C7739"/>
    <w:rsid w:val="000D573B"/>
    <w:rsid w:val="000E3C23"/>
    <w:rsid w:val="000F4060"/>
    <w:rsid w:val="000F5846"/>
    <w:rsid w:val="000F6897"/>
    <w:rsid w:val="000F69D7"/>
    <w:rsid w:val="00101AC8"/>
    <w:rsid w:val="00131A17"/>
    <w:rsid w:val="00145819"/>
    <w:rsid w:val="00147AAF"/>
    <w:rsid w:val="00155E1C"/>
    <w:rsid w:val="001616B5"/>
    <w:rsid w:val="00163B05"/>
    <w:rsid w:val="00172A59"/>
    <w:rsid w:val="0017648E"/>
    <w:rsid w:val="00184355"/>
    <w:rsid w:val="001858A0"/>
    <w:rsid w:val="001B04E3"/>
    <w:rsid w:val="001B647F"/>
    <w:rsid w:val="001B7BB8"/>
    <w:rsid w:val="001C304F"/>
    <w:rsid w:val="001C3CC4"/>
    <w:rsid w:val="001E4E9B"/>
    <w:rsid w:val="001F0BAE"/>
    <w:rsid w:val="001F35E7"/>
    <w:rsid w:val="001F6586"/>
    <w:rsid w:val="0021141E"/>
    <w:rsid w:val="00214D3D"/>
    <w:rsid w:val="00217491"/>
    <w:rsid w:val="0022584C"/>
    <w:rsid w:val="00235A63"/>
    <w:rsid w:val="00246E10"/>
    <w:rsid w:val="00251C57"/>
    <w:rsid w:val="0025445D"/>
    <w:rsid w:val="002558A1"/>
    <w:rsid w:val="00263041"/>
    <w:rsid w:val="00266D2B"/>
    <w:rsid w:val="00272644"/>
    <w:rsid w:val="0027547E"/>
    <w:rsid w:val="0027552C"/>
    <w:rsid w:val="002755E7"/>
    <w:rsid w:val="00282E98"/>
    <w:rsid w:val="00283D9F"/>
    <w:rsid w:val="002856B2"/>
    <w:rsid w:val="00292A05"/>
    <w:rsid w:val="002938C1"/>
    <w:rsid w:val="002A63FB"/>
    <w:rsid w:val="002A6C5D"/>
    <w:rsid w:val="002C346F"/>
    <w:rsid w:val="002C6841"/>
    <w:rsid w:val="002D48CF"/>
    <w:rsid w:val="002D6883"/>
    <w:rsid w:val="002D6F33"/>
    <w:rsid w:val="002F1E09"/>
    <w:rsid w:val="002F326A"/>
    <w:rsid w:val="00300AA6"/>
    <w:rsid w:val="00306292"/>
    <w:rsid w:val="00310A07"/>
    <w:rsid w:val="0031572E"/>
    <w:rsid w:val="003162C9"/>
    <w:rsid w:val="003165D8"/>
    <w:rsid w:val="00317A19"/>
    <w:rsid w:val="00320DA2"/>
    <w:rsid w:val="00326612"/>
    <w:rsid w:val="003308BC"/>
    <w:rsid w:val="00340AFB"/>
    <w:rsid w:val="00347696"/>
    <w:rsid w:val="00347963"/>
    <w:rsid w:val="003524C1"/>
    <w:rsid w:val="00356FA9"/>
    <w:rsid w:val="00370DA9"/>
    <w:rsid w:val="00380CFF"/>
    <w:rsid w:val="00380D3D"/>
    <w:rsid w:val="00396BC8"/>
    <w:rsid w:val="003A61A4"/>
    <w:rsid w:val="003A7DC9"/>
    <w:rsid w:val="003B0501"/>
    <w:rsid w:val="003B20BE"/>
    <w:rsid w:val="003B5B1C"/>
    <w:rsid w:val="003C6CA0"/>
    <w:rsid w:val="003C6E95"/>
    <w:rsid w:val="003D2694"/>
    <w:rsid w:val="003E0B1F"/>
    <w:rsid w:val="003E15A8"/>
    <w:rsid w:val="003E2067"/>
    <w:rsid w:val="003E6190"/>
    <w:rsid w:val="003F027B"/>
    <w:rsid w:val="00401798"/>
    <w:rsid w:val="004018BA"/>
    <w:rsid w:val="00402088"/>
    <w:rsid w:val="00410C7D"/>
    <w:rsid w:val="004167A1"/>
    <w:rsid w:val="0042137A"/>
    <w:rsid w:val="00430C5A"/>
    <w:rsid w:val="00433202"/>
    <w:rsid w:val="0043757E"/>
    <w:rsid w:val="00437ADF"/>
    <w:rsid w:val="004422DF"/>
    <w:rsid w:val="00444875"/>
    <w:rsid w:val="004603C2"/>
    <w:rsid w:val="0049109E"/>
    <w:rsid w:val="00494A0C"/>
    <w:rsid w:val="00495666"/>
    <w:rsid w:val="00495744"/>
    <w:rsid w:val="00497FDF"/>
    <w:rsid w:val="004A40F2"/>
    <w:rsid w:val="004B2018"/>
    <w:rsid w:val="004B45CC"/>
    <w:rsid w:val="004E0271"/>
    <w:rsid w:val="004F630D"/>
    <w:rsid w:val="004F7A36"/>
    <w:rsid w:val="005024F0"/>
    <w:rsid w:val="0050266A"/>
    <w:rsid w:val="0050414D"/>
    <w:rsid w:val="00504E7D"/>
    <w:rsid w:val="00512A38"/>
    <w:rsid w:val="0051309F"/>
    <w:rsid w:val="00515CA3"/>
    <w:rsid w:val="0052301B"/>
    <w:rsid w:val="00523A77"/>
    <w:rsid w:val="00525B8B"/>
    <w:rsid w:val="005302F6"/>
    <w:rsid w:val="00531FB1"/>
    <w:rsid w:val="005567F1"/>
    <w:rsid w:val="00556B16"/>
    <w:rsid w:val="00557424"/>
    <w:rsid w:val="00570E11"/>
    <w:rsid w:val="005727CA"/>
    <w:rsid w:val="00580464"/>
    <w:rsid w:val="0059475D"/>
    <w:rsid w:val="005975E7"/>
    <w:rsid w:val="005A22AC"/>
    <w:rsid w:val="005A3D99"/>
    <w:rsid w:val="005A4BB1"/>
    <w:rsid w:val="005A5523"/>
    <w:rsid w:val="005A7526"/>
    <w:rsid w:val="005B141C"/>
    <w:rsid w:val="005C05AE"/>
    <w:rsid w:val="005C4461"/>
    <w:rsid w:val="005C4BFE"/>
    <w:rsid w:val="005C51DD"/>
    <w:rsid w:val="005C6DE1"/>
    <w:rsid w:val="005D0CBA"/>
    <w:rsid w:val="005D39DE"/>
    <w:rsid w:val="005D67C3"/>
    <w:rsid w:val="005E591B"/>
    <w:rsid w:val="005F5FE2"/>
    <w:rsid w:val="006027FC"/>
    <w:rsid w:val="006127B4"/>
    <w:rsid w:val="006200BA"/>
    <w:rsid w:val="0062435C"/>
    <w:rsid w:val="006267BC"/>
    <w:rsid w:val="006341B1"/>
    <w:rsid w:val="00634890"/>
    <w:rsid w:val="00637FC9"/>
    <w:rsid w:val="00646BBD"/>
    <w:rsid w:val="00647E49"/>
    <w:rsid w:val="00651920"/>
    <w:rsid w:val="00655603"/>
    <w:rsid w:val="00663FF0"/>
    <w:rsid w:val="00664356"/>
    <w:rsid w:val="00676764"/>
    <w:rsid w:val="00680DF3"/>
    <w:rsid w:val="00683612"/>
    <w:rsid w:val="00683A50"/>
    <w:rsid w:val="006863A4"/>
    <w:rsid w:val="00690A7C"/>
    <w:rsid w:val="006A683C"/>
    <w:rsid w:val="006B0E98"/>
    <w:rsid w:val="006B3464"/>
    <w:rsid w:val="006B61CB"/>
    <w:rsid w:val="006B6805"/>
    <w:rsid w:val="006B7D2C"/>
    <w:rsid w:val="006C65AD"/>
    <w:rsid w:val="006E2EB9"/>
    <w:rsid w:val="006E65C0"/>
    <w:rsid w:val="006F17DC"/>
    <w:rsid w:val="006F69F6"/>
    <w:rsid w:val="007011CA"/>
    <w:rsid w:val="0071046A"/>
    <w:rsid w:val="00716AAE"/>
    <w:rsid w:val="00725692"/>
    <w:rsid w:val="00726AF0"/>
    <w:rsid w:val="00744704"/>
    <w:rsid w:val="00752C59"/>
    <w:rsid w:val="0075732A"/>
    <w:rsid w:val="007615C6"/>
    <w:rsid w:val="007638BE"/>
    <w:rsid w:val="007639D3"/>
    <w:rsid w:val="00770F3B"/>
    <w:rsid w:val="00793CC4"/>
    <w:rsid w:val="00796D7F"/>
    <w:rsid w:val="007A63A2"/>
    <w:rsid w:val="007C103E"/>
    <w:rsid w:val="007C39BB"/>
    <w:rsid w:val="007C408D"/>
    <w:rsid w:val="007C7ABF"/>
    <w:rsid w:val="007D4C46"/>
    <w:rsid w:val="007E0899"/>
    <w:rsid w:val="007E1024"/>
    <w:rsid w:val="007E2B81"/>
    <w:rsid w:val="007E6E8B"/>
    <w:rsid w:val="007F0DBB"/>
    <w:rsid w:val="007F15A9"/>
    <w:rsid w:val="007F40C1"/>
    <w:rsid w:val="007F4521"/>
    <w:rsid w:val="007F4F4B"/>
    <w:rsid w:val="007F57DD"/>
    <w:rsid w:val="00805DE4"/>
    <w:rsid w:val="0081008A"/>
    <w:rsid w:val="00823FFE"/>
    <w:rsid w:val="00834B72"/>
    <w:rsid w:val="00836A53"/>
    <w:rsid w:val="00847154"/>
    <w:rsid w:val="00857ABD"/>
    <w:rsid w:val="008668EF"/>
    <w:rsid w:val="00881C1C"/>
    <w:rsid w:val="00884E13"/>
    <w:rsid w:val="0088526B"/>
    <w:rsid w:val="00887FF1"/>
    <w:rsid w:val="008930A6"/>
    <w:rsid w:val="008A021A"/>
    <w:rsid w:val="008A0C90"/>
    <w:rsid w:val="008A1123"/>
    <w:rsid w:val="008A2FCA"/>
    <w:rsid w:val="008C2F59"/>
    <w:rsid w:val="008C7D3C"/>
    <w:rsid w:val="008D0A34"/>
    <w:rsid w:val="008D3583"/>
    <w:rsid w:val="008D3D37"/>
    <w:rsid w:val="008E3800"/>
    <w:rsid w:val="008E60B7"/>
    <w:rsid w:val="008E7FB3"/>
    <w:rsid w:val="008F0BDD"/>
    <w:rsid w:val="008F367D"/>
    <w:rsid w:val="00914371"/>
    <w:rsid w:val="00916DB1"/>
    <w:rsid w:val="00922B21"/>
    <w:rsid w:val="00923260"/>
    <w:rsid w:val="00926161"/>
    <w:rsid w:val="00933B3A"/>
    <w:rsid w:val="00975576"/>
    <w:rsid w:val="0097651A"/>
    <w:rsid w:val="009810C8"/>
    <w:rsid w:val="00981623"/>
    <w:rsid w:val="0098479A"/>
    <w:rsid w:val="00984976"/>
    <w:rsid w:val="00990D56"/>
    <w:rsid w:val="00992CAC"/>
    <w:rsid w:val="00995D6A"/>
    <w:rsid w:val="009A2928"/>
    <w:rsid w:val="009B6DD9"/>
    <w:rsid w:val="009D7019"/>
    <w:rsid w:val="009E0839"/>
    <w:rsid w:val="00A00F22"/>
    <w:rsid w:val="00A03B9F"/>
    <w:rsid w:val="00A0760D"/>
    <w:rsid w:val="00A22659"/>
    <w:rsid w:val="00A2444B"/>
    <w:rsid w:val="00A30872"/>
    <w:rsid w:val="00A35D79"/>
    <w:rsid w:val="00A5269E"/>
    <w:rsid w:val="00A52ED5"/>
    <w:rsid w:val="00A53B72"/>
    <w:rsid w:val="00A653E8"/>
    <w:rsid w:val="00A72146"/>
    <w:rsid w:val="00A72F3C"/>
    <w:rsid w:val="00A73D14"/>
    <w:rsid w:val="00A81566"/>
    <w:rsid w:val="00AA2092"/>
    <w:rsid w:val="00AB0064"/>
    <w:rsid w:val="00AB2631"/>
    <w:rsid w:val="00AB524B"/>
    <w:rsid w:val="00AC192E"/>
    <w:rsid w:val="00AD707D"/>
    <w:rsid w:val="00AE2AB4"/>
    <w:rsid w:val="00B01E1D"/>
    <w:rsid w:val="00B12A5F"/>
    <w:rsid w:val="00B1319A"/>
    <w:rsid w:val="00B21388"/>
    <w:rsid w:val="00B24A93"/>
    <w:rsid w:val="00B400E2"/>
    <w:rsid w:val="00B42DEC"/>
    <w:rsid w:val="00B46C69"/>
    <w:rsid w:val="00B4798C"/>
    <w:rsid w:val="00B63983"/>
    <w:rsid w:val="00B65FD5"/>
    <w:rsid w:val="00B71533"/>
    <w:rsid w:val="00B77D64"/>
    <w:rsid w:val="00BB00D1"/>
    <w:rsid w:val="00BB40BF"/>
    <w:rsid w:val="00BB5203"/>
    <w:rsid w:val="00BC0C92"/>
    <w:rsid w:val="00BC74E0"/>
    <w:rsid w:val="00BC7D4C"/>
    <w:rsid w:val="00BE1862"/>
    <w:rsid w:val="00BE3944"/>
    <w:rsid w:val="00BE7853"/>
    <w:rsid w:val="00BF062D"/>
    <w:rsid w:val="00BF208C"/>
    <w:rsid w:val="00C143B4"/>
    <w:rsid w:val="00C151B7"/>
    <w:rsid w:val="00C161D3"/>
    <w:rsid w:val="00C32F88"/>
    <w:rsid w:val="00C443BB"/>
    <w:rsid w:val="00C53F63"/>
    <w:rsid w:val="00C60AFB"/>
    <w:rsid w:val="00C80600"/>
    <w:rsid w:val="00C8195E"/>
    <w:rsid w:val="00C84E16"/>
    <w:rsid w:val="00C86837"/>
    <w:rsid w:val="00C86C0A"/>
    <w:rsid w:val="00C95D35"/>
    <w:rsid w:val="00CA2DDD"/>
    <w:rsid w:val="00CB18D9"/>
    <w:rsid w:val="00CC4711"/>
    <w:rsid w:val="00CC761D"/>
    <w:rsid w:val="00CD1779"/>
    <w:rsid w:val="00CE6EB7"/>
    <w:rsid w:val="00CF071F"/>
    <w:rsid w:val="00D2671A"/>
    <w:rsid w:val="00D2747D"/>
    <w:rsid w:val="00D27956"/>
    <w:rsid w:val="00D4080F"/>
    <w:rsid w:val="00D62AFC"/>
    <w:rsid w:val="00D744B4"/>
    <w:rsid w:val="00D77187"/>
    <w:rsid w:val="00D8371E"/>
    <w:rsid w:val="00D856B5"/>
    <w:rsid w:val="00D9085B"/>
    <w:rsid w:val="00D91846"/>
    <w:rsid w:val="00DA0739"/>
    <w:rsid w:val="00DA1590"/>
    <w:rsid w:val="00DA39A7"/>
    <w:rsid w:val="00DA4731"/>
    <w:rsid w:val="00DA7C7E"/>
    <w:rsid w:val="00DB0102"/>
    <w:rsid w:val="00DB0570"/>
    <w:rsid w:val="00DB07A0"/>
    <w:rsid w:val="00DB3B99"/>
    <w:rsid w:val="00DB5F9F"/>
    <w:rsid w:val="00DC592F"/>
    <w:rsid w:val="00DC7260"/>
    <w:rsid w:val="00DD0B4B"/>
    <w:rsid w:val="00DD59F0"/>
    <w:rsid w:val="00DE0297"/>
    <w:rsid w:val="00DE47F2"/>
    <w:rsid w:val="00DF2235"/>
    <w:rsid w:val="00E024DE"/>
    <w:rsid w:val="00E05C75"/>
    <w:rsid w:val="00E11361"/>
    <w:rsid w:val="00E2449E"/>
    <w:rsid w:val="00E2607F"/>
    <w:rsid w:val="00E26FA1"/>
    <w:rsid w:val="00E435BC"/>
    <w:rsid w:val="00E505EC"/>
    <w:rsid w:val="00E537DA"/>
    <w:rsid w:val="00E573D0"/>
    <w:rsid w:val="00E61F21"/>
    <w:rsid w:val="00E65283"/>
    <w:rsid w:val="00E70CA0"/>
    <w:rsid w:val="00E806DA"/>
    <w:rsid w:val="00E80912"/>
    <w:rsid w:val="00E904B8"/>
    <w:rsid w:val="00EA55DE"/>
    <w:rsid w:val="00EA584E"/>
    <w:rsid w:val="00EB13A7"/>
    <w:rsid w:val="00EB1D4C"/>
    <w:rsid w:val="00EB236F"/>
    <w:rsid w:val="00EB2A0F"/>
    <w:rsid w:val="00EB7ACE"/>
    <w:rsid w:val="00EC2DED"/>
    <w:rsid w:val="00EC4208"/>
    <w:rsid w:val="00EC6C99"/>
    <w:rsid w:val="00ED5B00"/>
    <w:rsid w:val="00EE2A31"/>
    <w:rsid w:val="00EF64C2"/>
    <w:rsid w:val="00EF6E6C"/>
    <w:rsid w:val="00F058E1"/>
    <w:rsid w:val="00F06820"/>
    <w:rsid w:val="00F070C5"/>
    <w:rsid w:val="00F0764D"/>
    <w:rsid w:val="00F10130"/>
    <w:rsid w:val="00F16183"/>
    <w:rsid w:val="00F20AAF"/>
    <w:rsid w:val="00F21C29"/>
    <w:rsid w:val="00F32B93"/>
    <w:rsid w:val="00F401D3"/>
    <w:rsid w:val="00F47526"/>
    <w:rsid w:val="00F60569"/>
    <w:rsid w:val="00F6165A"/>
    <w:rsid w:val="00F62488"/>
    <w:rsid w:val="00F73D39"/>
    <w:rsid w:val="00F77DB0"/>
    <w:rsid w:val="00FA2AD8"/>
    <w:rsid w:val="00FB52F0"/>
    <w:rsid w:val="00FB7834"/>
    <w:rsid w:val="00FC02A4"/>
    <w:rsid w:val="00FC4B51"/>
    <w:rsid w:val="00FC5E75"/>
    <w:rsid w:val="00FC73BB"/>
    <w:rsid w:val="00FE223B"/>
    <w:rsid w:val="00FE40A3"/>
    <w:rsid w:val="00FF3747"/>
    <w:rsid w:val="00FF3FDE"/>
    <w:rsid w:val="00FF6B4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1026"/>
    <o:shapelayout v:ext="edit">
      <o:idmap v:ext="edit" data="1"/>
    </o:shapelayout>
  </w:shapeDefaults>
  <w:decimalSymbol w:val=","/>
  <w:listSeparator w:val=";"/>
  <w14:docId w14:val="26F4B1EC"/>
  <w15:chartTrackingRefBased/>
  <w15:docId w15:val="{9A611182-4831-4C89-A5F3-19014D5A68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50ED2"/>
  </w:style>
  <w:style w:type="paragraph" w:styleId="Ttulo3">
    <w:name w:val="heading 3"/>
    <w:basedOn w:val="Normal"/>
    <w:next w:val="Normal"/>
    <w:link w:val="Ttulo3Car"/>
    <w:uiPriority w:val="9"/>
    <w:semiHidden/>
    <w:unhideWhenUsed/>
    <w:qFormat/>
    <w:rsid w:val="000A0A4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Ttulo5">
    <w:name w:val="heading 5"/>
    <w:basedOn w:val="Normal"/>
    <w:next w:val="Normal"/>
    <w:link w:val="Ttulo5Car"/>
    <w:uiPriority w:val="9"/>
    <w:semiHidden/>
    <w:unhideWhenUsed/>
    <w:qFormat/>
    <w:rsid w:val="005B141C"/>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EncabezadoCar">
    <w:name w:val="Encabezado Car"/>
    <w:basedOn w:val="Fuentedeprrafopredeter"/>
    <w:link w:val="Encabezado"/>
    <w:rsid w:val="00CC761D"/>
    <w:rPr>
      <w:rFonts w:ascii="Times New Roman" w:eastAsia="Times New Roman" w:hAnsi="Times New Roman" w:cs="Times New Roman"/>
      <w:sz w:val="20"/>
      <w:szCs w:val="20"/>
      <w:lang w:val="es-ES_tradnl" w:eastAsia="es-ES"/>
    </w:rPr>
  </w:style>
  <w:style w:type="paragraph" w:styleId="Piedepgina">
    <w:name w:val="footer"/>
    <w:basedOn w:val="Normal"/>
    <w:link w:val="PiedepginaCar"/>
    <w:uiPriority w:val="99"/>
    <w:rsid w:val="00CC761D"/>
    <w:pPr>
      <w:tabs>
        <w:tab w:val="center" w:pos="4252"/>
        <w:tab w:val="right" w:pos="8504"/>
      </w:tabs>
      <w:spacing w:after="0" w:line="240" w:lineRule="auto"/>
    </w:pPr>
    <w:rPr>
      <w:rFonts w:ascii="Times New Roman" w:eastAsia="Times New Roman" w:hAnsi="Times New Roman" w:cs="Times New Roman"/>
      <w:sz w:val="20"/>
      <w:szCs w:val="20"/>
      <w:lang w:val="es-ES_tradnl" w:eastAsia="es-ES"/>
    </w:rPr>
  </w:style>
  <w:style w:type="character" w:customStyle="1" w:styleId="PiedepginaCar">
    <w:name w:val="Pie de página Car"/>
    <w:basedOn w:val="Fuentedeprrafopredeter"/>
    <w:link w:val="Piedepgina"/>
    <w:uiPriority w:val="99"/>
    <w:rsid w:val="00CC761D"/>
    <w:rPr>
      <w:rFonts w:ascii="Times New Roman" w:eastAsia="Times New Roman" w:hAnsi="Times New Roman" w:cs="Times New Roman"/>
      <w:sz w:val="20"/>
      <w:szCs w:val="20"/>
      <w:lang w:val="es-ES_tradnl" w:eastAsia="es-ES"/>
    </w:rPr>
  </w:style>
  <w:style w:type="paragraph" w:styleId="Textonotapie">
    <w:name w:val="footnote text"/>
    <w:basedOn w:val="Normal"/>
    <w:link w:val="TextonotapieCar"/>
    <w:uiPriority w:val="99"/>
    <w:semiHidden/>
    <w:rsid w:val="00CC761D"/>
    <w:pPr>
      <w:spacing w:after="0" w:line="240" w:lineRule="auto"/>
    </w:pPr>
    <w:rPr>
      <w:rFonts w:ascii="Times New Roman" w:eastAsia="Times New Roman" w:hAnsi="Times New Roman" w:cs="Times New Roman"/>
      <w:sz w:val="20"/>
      <w:szCs w:val="20"/>
      <w:lang w:val="es-ES_tradnl" w:eastAsia="es-ES"/>
    </w:rPr>
  </w:style>
  <w:style w:type="character" w:customStyle="1" w:styleId="TextonotapieCar">
    <w:name w:val="Texto nota pie Car"/>
    <w:basedOn w:val="Fuentedeprrafopredeter"/>
    <w:link w:val="Textonotapie"/>
    <w:uiPriority w:val="99"/>
    <w:semiHidden/>
    <w:rsid w:val="00CC761D"/>
    <w:rPr>
      <w:rFonts w:ascii="Times New Roman" w:eastAsia="Times New Roman" w:hAnsi="Times New Roman" w:cs="Times New Roman"/>
      <w:sz w:val="20"/>
      <w:szCs w:val="20"/>
      <w:lang w:val="es-ES_tradnl" w:eastAsia="es-ES"/>
    </w:rPr>
  </w:style>
  <w:style w:type="character" w:styleId="Nmerodepgina">
    <w:name w:val="page number"/>
    <w:basedOn w:val="Fuentedeprrafopredeter"/>
    <w:rsid w:val="00CC761D"/>
  </w:style>
  <w:style w:type="paragraph" w:customStyle="1" w:styleId="Formatolibre">
    <w:name w:val="Formato libre"/>
    <w:rsid w:val="00CC761D"/>
    <w:pPr>
      <w:spacing w:after="0" w:line="336" w:lineRule="auto"/>
    </w:pPr>
    <w:rPr>
      <w:rFonts w:ascii="Bodoni SvtyTwo OS ITC TT-Book" w:eastAsia="ヒラギノ角ゴ Pro W3" w:hAnsi="Bodoni SvtyTwo OS ITC TT-Book" w:cs="Times New Roman"/>
      <w:color w:val="000000"/>
      <w:sz w:val="24"/>
      <w:szCs w:val="20"/>
      <w:lang w:val="es-ES_tradnl"/>
    </w:rPr>
  </w:style>
  <w:style w:type="paragraph" w:customStyle="1" w:styleId="parrafo">
    <w:name w:val="parrafo"/>
    <w:basedOn w:val="Normal"/>
    <w:rsid w:val="00272644"/>
    <w:pPr>
      <w:spacing w:before="100" w:beforeAutospacing="1" w:after="100" w:afterAutospacing="1" w:line="240" w:lineRule="auto"/>
    </w:pPr>
    <w:rPr>
      <w:rFonts w:ascii="Times New Roman" w:eastAsia="Times New Roman" w:hAnsi="Times New Roman" w:cs="Times New Roman"/>
      <w:sz w:val="24"/>
      <w:szCs w:val="24"/>
      <w:lang w:eastAsia="es-ES"/>
    </w:rPr>
  </w:style>
  <w:style w:type="paragraph" w:styleId="Prrafodelista">
    <w:name w:val="List Paragraph"/>
    <w:aliases w:val="Bullet,Párrafo de lista1,Párrafo de lista11,Normal N3,Arial 8,List Paragraph1,F5 List Paragraph,Dot pt,No Spacing1,List Paragraph Char Char Char,Indicator Text,Numbered Para 1,Bullet Points,MAIN CONTENT,List Paragraph2,List Paragraph"/>
    <w:basedOn w:val="Normal"/>
    <w:link w:val="PrrafodelistaCar"/>
    <w:uiPriority w:val="34"/>
    <w:qFormat/>
    <w:rsid w:val="00A72F3C"/>
    <w:pPr>
      <w:ind w:left="720"/>
      <w:contextualSpacing/>
    </w:pPr>
  </w:style>
  <w:style w:type="paragraph" w:styleId="Textodeglobo">
    <w:name w:val="Balloon Text"/>
    <w:basedOn w:val="Normal"/>
    <w:link w:val="TextodegloboCar"/>
    <w:uiPriority w:val="99"/>
    <w:semiHidden/>
    <w:unhideWhenUsed/>
    <w:rsid w:val="00050AC6"/>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050AC6"/>
    <w:rPr>
      <w:rFonts w:ascii="Segoe UI" w:hAnsi="Segoe UI" w:cs="Segoe UI"/>
      <w:sz w:val="18"/>
      <w:szCs w:val="18"/>
    </w:rPr>
  </w:style>
  <w:style w:type="character" w:styleId="Refdecomentario">
    <w:name w:val="annotation reference"/>
    <w:basedOn w:val="Fuentedeprrafopredeter"/>
    <w:uiPriority w:val="99"/>
    <w:semiHidden/>
    <w:unhideWhenUsed/>
    <w:rsid w:val="00DB3B99"/>
    <w:rPr>
      <w:sz w:val="16"/>
      <w:szCs w:val="16"/>
    </w:rPr>
  </w:style>
  <w:style w:type="paragraph" w:styleId="Textocomentario">
    <w:name w:val="annotation text"/>
    <w:basedOn w:val="Normal"/>
    <w:link w:val="TextocomentarioCar"/>
    <w:uiPriority w:val="99"/>
    <w:unhideWhenUsed/>
    <w:rsid w:val="00DB3B99"/>
    <w:pPr>
      <w:spacing w:line="240" w:lineRule="auto"/>
    </w:pPr>
    <w:rPr>
      <w:sz w:val="20"/>
      <w:szCs w:val="20"/>
    </w:rPr>
  </w:style>
  <w:style w:type="character" w:customStyle="1" w:styleId="TextocomentarioCar">
    <w:name w:val="Texto comentario Car"/>
    <w:basedOn w:val="Fuentedeprrafopredeter"/>
    <w:link w:val="Textocomentario"/>
    <w:uiPriority w:val="99"/>
    <w:rsid w:val="00DB3B99"/>
    <w:rPr>
      <w:sz w:val="20"/>
      <w:szCs w:val="20"/>
    </w:rPr>
  </w:style>
  <w:style w:type="paragraph" w:styleId="Asuntodelcomentario">
    <w:name w:val="annotation subject"/>
    <w:basedOn w:val="Textocomentario"/>
    <w:next w:val="Textocomentario"/>
    <w:link w:val="AsuntodelcomentarioCar"/>
    <w:uiPriority w:val="99"/>
    <w:semiHidden/>
    <w:unhideWhenUsed/>
    <w:rsid w:val="00DB3B99"/>
    <w:rPr>
      <w:b/>
      <w:bCs/>
    </w:rPr>
  </w:style>
  <w:style w:type="character" w:customStyle="1" w:styleId="AsuntodelcomentarioCar">
    <w:name w:val="Asunto del comentario Car"/>
    <w:basedOn w:val="TextocomentarioCar"/>
    <w:link w:val="Asuntodelcomentario"/>
    <w:uiPriority w:val="99"/>
    <w:semiHidden/>
    <w:rsid w:val="00DB3B99"/>
    <w:rPr>
      <w:b/>
      <w:bCs/>
      <w:sz w:val="20"/>
      <w:szCs w:val="20"/>
    </w:rPr>
  </w:style>
  <w:style w:type="paragraph" w:styleId="Sinespaciado">
    <w:name w:val="No Spacing"/>
    <w:uiPriority w:val="1"/>
    <w:qFormat/>
    <w:rsid w:val="00884E13"/>
    <w:pPr>
      <w:spacing w:after="0" w:line="240" w:lineRule="auto"/>
    </w:pPr>
  </w:style>
  <w:style w:type="paragraph" w:customStyle="1" w:styleId="Default">
    <w:name w:val="Default"/>
    <w:rsid w:val="004F630D"/>
    <w:pPr>
      <w:autoSpaceDE w:val="0"/>
      <w:autoSpaceDN w:val="0"/>
      <w:adjustRightInd w:val="0"/>
      <w:spacing w:after="0" w:line="240" w:lineRule="auto"/>
    </w:pPr>
    <w:rPr>
      <w:rFonts w:ascii="Calibri" w:hAnsi="Calibri" w:cs="Calibri"/>
      <w:color w:val="000000"/>
      <w:sz w:val="24"/>
      <w:szCs w:val="24"/>
    </w:rPr>
  </w:style>
  <w:style w:type="paragraph" w:styleId="Revisin">
    <w:name w:val="Revision"/>
    <w:hidden/>
    <w:uiPriority w:val="99"/>
    <w:semiHidden/>
    <w:rsid w:val="002C6841"/>
    <w:pPr>
      <w:spacing w:after="0" w:line="240" w:lineRule="auto"/>
    </w:pPr>
  </w:style>
  <w:style w:type="character" w:customStyle="1" w:styleId="Ttulo5Car">
    <w:name w:val="Título 5 Car"/>
    <w:basedOn w:val="Fuentedeprrafopredeter"/>
    <w:link w:val="Ttulo5"/>
    <w:uiPriority w:val="9"/>
    <w:semiHidden/>
    <w:rsid w:val="005B141C"/>
    <w:rPr>
      <w:rFonts w:asciiTheme="majorHAnsi" w:eastAsiaTheme="majorEastAsia" w:hAnsiTheme="majorHAnsi" w:cstheme="majorBidi"/>
      <w:color w:val="2E74B5" w:themeColor="accent1" w:themeShade="BF"/>
    </w:rPr>
  </w:style>
  <w:style w:type="paragraph" w:styleId="Textoindependiente">
    <w:name w:val="Body Text"/>
    <w:basedOn w:val="Normal"/>
    <w:link w:val="TextoindependienteCar"/>
    <w:rsid w:val="008E3800"/>
    <w:pPr>
      <w:spacing w:after="0" w:line="240" w:lineRule="auto"/>
      <w:jc w:val="both"/>
    </w:pPr>
    <w:rPr>
      <w:rFonts w:ascii="Times New Roman" w:eastAsia="Times New Roman" w:hAnsi="Times New Roman" w:cs="Times New Roman"/>
      <w:sz w:val="24"/>
      <w:szCs w:val="24"/>
      <w:lang w:eastAsia="es-ES"/>
    </w:rPr>
  </w:style>
  <w:style w:type="character" w:customStyle="1" w:styleId="TextoindependienteCar">
    <w:name w:val="Texto independiente Car"/>
    <w:basedOn w:val="Fuentedeprrafopredeter"/>
    <w:link w:val="Textoindependiente"/>
    <w:rsid w:val="008E3800"/>
    <w:rPr>
      <w:rFonts w:ascii="Times New Roman" w:eastAsia="Times New Roman" w:hAnsi="Times New Roman" w:cs="Times New Roman"/>
      <w:sz w:val="24"/>
      <w:szCs w:val="24"/>
      <w:lang w:eastAsia="es-ES"/>
    </w:rPr>
  </w:style>
  <w:style w:type="paragraph" w:customStyle="1" w:styleId="CuerpoA">
    <w:name w:val="Cuerpo A"/>
    <w:rsid w:val="000632DB"/>
    <w:pPr>
      <w:spacing w:after="0" w:line="240" w:lineRule="auto"/>
    </w:pPr>
    <w:rPr>
      <w:rFonts w:ascii="Helvetica Neue" w:eastAsia="Arial Unicode MS" w:hAnsi="Helvetica Neue" w:cs="Arial Unicode MS"/>
      <w:color w:val="000000"/>
      <w:u w:color="000000"/>
      <w:lang w:val="es-ES_tradnl" w:eastAsia="es-ES"/>
    </w:rPr>
  </w:style>
  <w:style w:type="character" w:customStyle="1" w:styleId="PrrafodelistaCar">
    <w:name w:val="Párrafo de lista Car"/>
    <w:aliases w:val="Bullet Car,Párrafo de lista1 Car,Párrafo de lista11 Car,Normal N3 Car,Arial 8 Car,List Paragraph1 Car,F5 List Paragraph Car,Dot pt Car,No Spacing1 Car,List Paragraph Char Char Char Car,Indicator Text Car,Numbered Para 1 Car"/>
    <w:link w:val="Prrafodelista"/>
    <w:uiPriority w:val="34"/>
    <w:qFormat/>
    <w:locked/>
    <w:rsid w:val="006C65AD"/>
  </w:style>
  <w:style w:type="character" w:customStyle="1" w:styleId="Ttulo3Car">
    <w:name w:val="Título 3 Car"/>
    <w:basedOn w:val="Fuentedeprrafopredeter"/>
    <w:link w:val="Ttulo3"/>
    <w:uiPriority w:val="9"/>
    <w:semiHidden/>
    <w:rsid w:val="000A0A4E"/>
    <w:rPr>
      <w:rFonts w:asciiTheme="majorHAnsi" w:eastAsiaTheme="majorEastAsia" w:hAnsiTheme="majorHAnsi" w:cstheme="majorBidi"/>
      <w:color w:val="1F4D78" w:themeColor="accent1" w:themeShade="7F"/>
      <w:sz w:val="24"/>
      <w:szCs w:val="24"/>
    </w:rPr>
  </w:style>
  <w:style w:type="character" w:styleId="Refdenotaalpie">
    <w:name w:val="footnote reference"/>
    <w:basedOn w:val="Fuentedeprrafopredeter"/>
    <w:uiPriority w:val="99"/>
    <w:semiHidden/>
    <w:unhideWhenUsed/>
    <w:rsid w:val="00317A1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591446">
      <w:bodyDiv w:val="1"/>
      <w:marLeft w:val="0"/>
      <w:marRight w:val="0"/>
      <w:marTop w:val="0"/>
      <w:marBottom w:val="0"/>
      <w:divBdr>
        <w:top w:val="none" w:sz="0" w:space="0" w:color="auto"/>
        <w:left w:val="none" w:sz="0" w:space="0" w:color="auto"/>
        <w:bottom w:val="none" w:sz="0" w:space="0" w:color="auto"/>
        <w:right w:val="none" w:sz="0" w:space="0" w:color="auto"/>
      </w:divBdr>
    </w:div>
    <w:div w:id="186910958">
      <w:bodyDiv w:val="1"/>
      <w:marLeft w:val="0"/>
      <w:marRight w:val="0"/>
      <w:marTop w:val="0"/>
      <w:marBottom w:val="0"/>
      <w:divBdr>
        <w:top w:val="none" w:sz="0" w:space="0" w:color="auto"/>
        <w:left w:val="none" w:sz="0" w:space="0" w:color="auto"/>
        <w:bottom w:val="none" w:sz="0" w:space="0" w:color="auto"/>
        <w:right w:val="none" w:sz="0" w:space="0" w:color="auto"/>
      </w:divBdr>
    </w:div>
    <w:div w:id="332488440">
      <w:bodyDiv w:val="1"/>
      <w:marLeft w:val="0"/>
      <w:marRight w:val="0"/>
      <w:marTop w:val="0"/>
      <w:marBottom w:val="0"/>
      <w:divBdr>
        <w:top w:val="none" w:sz="0" w:space="0" w:color="auto"/>
        <w:left w:val="none" w:sz="0" w:space="0" w:color="auto"/>
        <w:bottom w:val="none" w:sz="0" w:space="0" w:color="auto"/>
        <w:right w:val="none" w:sz="0" w:space="0" w:color="auto"/>
      </w:divBdr>
    </w:div>
    <w:div w:id="372122917">
      <w:bodyDiv w:val="1"/>
      <w:marLeft w:val="0"/>
      <w:marRight w:val="0"/>
      <w:marTop w:val="0"/>
      <w:marBottom w:val="0"/>
      <w:divBdr>
        <w:top w:val="none" w:sz="0" w:space="0" w:color="auto"/>
        <w:left w:val="none" w:sz="0" w:space="0" w:color="auto"/>
        <w:bottom w:val="none" w:sz="0" w:space="0" w:color="auto"/>
        <w:right w:val="none" w:sz="0" w:space="0" w:color="auto"/>
      </w:divBdr>
    </w:div>
    <w:div w:id="412437250">
      <w:bodyDiv w:val="1"/>
      <w:marLeft w:val="0"/>
      <w:marRight w:val="0"/>
      <w:marTop w:val="0"/>
      <w:marBottom w:val="0"/>
      <w:divBdr>
        <w:top w:val="none" w:sz="0" w:space="0" w:color="auto"/>
        <w:left w:val="none" w:sz="0" w:space="0" w:color="auto"/>
        <w:bottom w:val="none" w:sz="0" w:space="0" w:color="auto"/>
        <w:right w:val="none" w:sz="0" w:space="0" w:color="auto"/>
      </w:divBdr>
    </w:div>
    <w:div w:id="580677159">
      <w:bodyDiv w:val="1"/>
      <w:marLeft w:val="0"/>
      <w:marRight w:val="0"/>
      <w:marTop w:val="0"/>
      <w:marBottom w:val="0"/>
      <w:divBdr>
        <w:top w:val="none" w:sz="0" w:space="0" w:color="auto"/>
        <w:left w:val="none" w:sz="0" w:space="0" w:color="auto"/>
        <w:bottom w:val="none" w:sz="0" w:space="0" w:color="auto"/>
        <w:right w:val="none" w:sz="0" w:space="0" w:color="auto"/>
      </w:divBdr>
    </w:div>
    <w:div w:id="638458206">
      <w:bodyDiv w:val="1"/>
      <w:marLeft w:val="0"/>
      <w:marRight w:val="0"/>
      <w:marTop w:val="0"/>
      <w:marBottom w:val="0"/>
      <w:divBdr>
        <w:top w:val="none" w:sz="0" w:space="0" w:color="auto"/>
        <w:left w:val="none" w:sz="0" w:space="0" w:color="auto"/>
        <w:bottom w:val="none" w:sz="0" w:space="0" w:color="auto"/>
        <w:right w:val="none" w:sz="0" w:space="0" w:color="auto"/>
      </w:divBdr>
    </w:div>
    <w:div w:id="646740004">
      <w:bodyDiv w:val="1"/>
      <w:marLeft w:val="0"/>
      <w:marRight w:val="0"/>
      <w:marTop w:val="0"/>
      <w:marBottom w:val="0"/>
      <w:divBdr>
        <w:top w:val="none" w:sz="0" w:space="0" w:color="auto"/>
        <w:left w:val="none" w:sz="0" w:space="0" w:color="auto"/>
        <w:bottom w:val="none" w:sz="0" w:space="0" w:color="auto"/>
        <w:right w:val="none" w:sz="0" w:space="0" w:color="auto"/>
      </w:divBdr>
    </w:div>
    <w:div w:id="685406331">
      <w:bodyDiv w:val="1"/>
      <w:marLeft w:val="0"/>
      <w:marRight w:val="0"/>
      <w:marTop w:val="0"/>
      <w:marBottom w:val="0"/>
      <w:divBdr>
        <w:top w:val="none" w:sz="0" w:space="0" w:color="auto"/>
        <w:left w:val="none" w:sz="0" w:space="0" w:color="auto"/>
        <w:bottom w:val="none" w:sz="0" w:space="0" w:color="auto"/>
        <w:right w:val="none" w:sz="0" w:space="0" w:color="auto"/>
      </w:divBdr>
    </w:div>
    <w:div w:id="790632054">
      <w:bodyDiv w:val="1"/>
      <w:marLeft w:val="0"/>
      <w:marRight w:val="0"/>
      <w:marTop w:val="0"/>
      <w:marBottom w:val="0"/>
      <w:divBdr>
        <w:top w:val="none" w:sz="0" w:space="0" w:color="auto"/>
        <w:left w:val="none" w:sz="0" w:space="0" w:color="auto"/>
        <w:bottom w:val="none" w:sz="0" w:space="0" w:color="auto"/>
        <w:right w:val="none" w:sz="0" w:space="0" w:color="auto"/>
      </w:divBdr>
    </w:div>
    <w:div w:id="965817562">
      <w:bodyDiv w:val="1"/>
      <w:marLeft w:val="0"/>
      <w:marRight w:val="0"/>
      <w:marTop w:val="0"/>
      <w:marBottom w:val="0"/>
      <w:divBdr>
        <w:top w:val="none" w:sz="0" w:space="0" w:color="auto"/>
        <w:left w:val="none" w:sz="0" w:space="0" w:color="auto"/>
        <w:bottom w:val="none" w:sz="0" w:space="0" w:color="auto"/>
        <w:right w:val="none" w:sz="0" w:space="0" w:color="auto"/>
      </w:divBdr>
    </w:div>
    <w:div w:id="1187671692">
      <w:bodyDiv w:val="1"/>
      <w:marLeft w:val="0"/>
      <w:marRight w:val="0"/>
      <w:marTop w:val="0"/>
      <w:marBottom w:val="0"/>
      <w:divBdr>
        <w:top w:val="none" w:sz="0" w:space="0" w:color="auto"/>
        <w:left w:val="none" w:sz="0" w:space="0" w:color="auto"/>
        <w:bottom w:val="none" w:sz="0" w:space="0" w:color="auto"/>
        <w:right w:val="none" w:sz="0" w:space="0" w:color="auto"/>
      </w:divBdr>
    </w:div>
    <w:div w:id="1202090382">
      <w:bodyDiv w:val="1"/>
      <w:marLeft w:val="0"/>
      <w:marRight w:val="0"/>
      <w:marTop w:val="0"/>
      <w:marBottom w:val="0"/>
      <w:divBdr>
        <w:top w:val="none" w:sz="0" w:space="0" w:color="auto"/>
        <w:left w:val="none" w:sz="0" w:space="0" w:color="auto"/>
        <w:bottom w:val="none" w:sz="0" w:space="0" w:color="auto"/>
        <w:right w:val="none" w:sz="0" w:space="0" w:color="auto"/>
      </w:divBdr>
    </w:div>
    <w:div w:id="1260136301">
      <w:bodyDiv w:val="1"/>
      <w:marLeft w:val="0"/>
      <w:marRight w:val="0"/>
      <w:marTop w:val="0"/>
      <w:marBottom w:val="0"/>
      <w:divBdr>
        <w:top w:val="none" w:sz="0" w:space="0" w:color="auto"/>
        <w:left w:val="none" w:sz="0" w:space="0" w:color="auto"/>
        <w:bottom w:val="none" w:sz="0" w:space="0" w:color="auto"/>
        <w:right w:val="none" w:sz="0" w:space="0" w:color="auto"/>
      </w:divBdr>
    </w:div>
    <w:div w:id="1368262951">
      <w:bodyDiv w:val="1"/>
      <w:marLeft w:val="0"/>
      <w:marRight w:val="0"/>
      <w:marTop w:val="0"/>
      <w:marBottom w:val="0"/>
      <w:divBdr>
        <w:top w:val="none" w:sz="0" w:space="0" w:color="auto"/>
        <w:left w:val="none" w:sz="0" w:space="0" w:color="auto"/>
        <w:bottom w:val="none" w:sz="0" w:space="0" w:color="auto"/>
        <w:right w:val="none" w:sz="0" w:space="0" w:color="auto"/>
      </w:divBdr>
    </w:div>
    <w:div w:id="1375886638">
      <w:bodyDiv w:val="1"/>
      <w:marLeft w:val="0"/>
      <w:marRight w:val="0"/>
      <w:marTop w:val="0"/>
      <w:marBottom w:val="0"/>
      <w:divBdr>
        <w:top w:val="none" w:sz="0" w:space="0" w:color="auto"/>
        <w:left w:val="none" w:sz="0" w:space="0" w:color="auto"/>
        <w:bottom w:val="none" w:sz="0" w:space="0" w:color="auto"/>
        <w:right w:val="none" w:sz="0" w:space="0" w:color="auto"/>
      </w:divBdr>
    </w:div>
    <w:div w:id="1398867475">
      <w:bodyDiv w:val="1"/>
      <w:marLeft w:val="0"/>
      <w:marRight w:val="0"/>
      <w:marTop w:val="0"/>
      <w:marBottom w:val="0"/>
      <w:divBdr>
        <w:top w:val="none" w:sz="0" w:space="0" w:color="auto"/>
        <w:left w:val="none" w:sz="0" w:space="0" w:color="auto"/>
        <w:bottom w:val="none" w:sz="0" w:space="0" w:color="auto"/>
        <w:right w:val="none" w:sz="0" w:space="0" w:color="auto"/>
      </w:divBdr>
    </w:div>
    <w:div w:id="1433353179">
      <w:bodyDiv w:val="1"/>
      <w:marLeft w:val="0"/>
      <w:marRight w:val="0"/>
      <w:marTop w:val="0"/>
      <w:marBottom w:val="0"/>
      <w:divBdr>
        <w:top w:val="none" w:sz="0" w:space="0" w:color="auto"/>
        <w:left w:val="none" w:sz="0" w:space="0" w:color="auto"/>
        <w:bottom w:val="none" w:sz="0" w:space="0" w:color="auto"/>
        <w:right w:val="none" w:sz="0" w:space="0" w:color="auto"/>
      </w:divBdr>
    </w:div>
    <w:div w:id="1474446621">
      <w:bodyDiv w:val="1"/>
      <w:marLeft w:val="0"/>
      <w:marRight w:val="0"/>
      <w:marTop w:val="0"/>
      <w:marBottom w:val="0"/>
      <w:divBdr>
        <w:top w:val="none" w:sz="0" w:space="0" w:color="auto"/>
        <w:left w:val="none" w:sz="0" w:space="0" w:color="auto"/>
        <w:bottom w:val="none" w:sz="0" w:space="0" w:color="auto"/>
        <w:right w:val="none" w:sz="0" w:space="0" w:color="auto"/>
      </w:divBdr>
    </w:div>
    <w:div w:id="1708023734">
      <w:bodyDiv w:val="1"/>
      <w:marLeft w:val="0"/>
      <w:marRight w:val="0"/>
      <w:marTop w:val="0"/>
      <w:marBottom w:val="0"/>
      <w:divBdr>
        <w:top w:val="none" w:sz="0" w:space="0" w:color="auto"/>
        <w:left w:val="none" w:sz="0" w:space="0" w:color="auto"/>
        <w:bottom w:val="none" w:sz="0" w:space="0" w:color="auto"/>
        <w:right w:val="none" w:sz="0" w:space="0" w:color="auto"/>
      </w:divBdr>
    </w:div>
    <w:div w:id="1767578649">
      <w:bodyDiv w:val="1"/>
      <w:marLeft w:val="0"/>
      <w:marRight w:val="0"/>
      <w:marTop w:val="0"/>
      <w:marBottom w:val="0"/>
      <w:divBdr>
        <w:top w:val="none" w:sz="0" w:space="0" w:color="auto"/>
        <w:left w:val="none" w:sz="0" w:space="0" w:color="auto"/>
        <w:bottom w:val="none" w:sz="0" w:space="0" w:color="auto"/>
        <w:right w:val="none" w:sz="0" w:space="0" w:color="auto"/>
      </w:divBdr>
    </w:div>
    <w:div w:id="1786921532">
      <w:bodyDiv w:val="1"/>
      <w:marLeft w:val="0"/>
      <w:marRight w:val="0"/>
      <w:marTop w:val="0"/>
      <w:marBottom w:val="0"/>
      <w:divBdr>
        <w:top w:val="none" w:sz="0" w:space="0" w:color="auto"/>
        <w:left w:val="none" w:sz="0" w:space="0" w:color="auto"/>
        <w:bottom w:val="none" w:sz="0" w:space="0" w:color="auto"/>
        <w:right w:val="none" w:sz="0" w:space="0" w:color="auto"/>
      </w:divBdr>
    </w:div>
    <w:div w:id="1852992855">
      <w:bodyDiv w:val="1"/>
      <w:marLeft w:val="0"/>
      <w:marRight w:val="0"/>
      <w:marTop w:val="0"/>
      <w:marBottom w:val="0"/>
      <w:divBdr>
        <w:top w:val="none" w:sz="0" w:space="0" w:color="auto"/>
        <w:left w:val="none" w:sz="0" w:space="0" w:color="auto"/>
        <w:bottom w:val="none" w:sz="0" w:space="0" w:color="auto"/>
        <w:right w:val="none" w:sz="0" w:space="0" w:color="auto"/>
      </w:divBdr>
    </w:div>
    <w:div w:id="1901206904">
      <w:bodyDiv w:val="1"/>
      <w:marLeft w:val="0"/>
      <w:marRight w:val="0"/>
      <w:marTop w:val="0"/>
      <w:marBottom w:val="0"/>
      <w:divBdr>
        <w:top w:val="none" w:sz="0" w:space="0" w:color="auto"/>
        <w:left w:val="none" w:sz="0" w:space="0" w:color="auto"/>
        <w:bottom w:val="none" w:sz="0" w:space="0" w:color="auto"/>
        <w:right w:val="none" w:sz="0" w:space="0" w:color="auto"/>
      </w:divBdr>
    </w:div>
    <w:div w:id="1997371508">
      <w:bodyDiv w:val="1"/>
      <w:marLeft w:val="0"/>
      <w:marRight w:val="0"/>
      <w:marTop w:val="0"/>
      <w:marBottom w:val="0"/>
      <w:divBdr>
        <w:top w:val="none" w:sz="0" w:space="0" w:color="auto"/>
        <w:left w:val="none" w:sz="0" w:space="0" w:color="auto"/>
        <w:bottom w:val="none" w:sz="0" w:space="0" w:color="auto"/>
        <w:right w:val="none" w:sz="0" w:space="0" w:color="auto"/>
      </w:divBdr>
    </w:div>
    <w:div w:id="2076736685">
      <w:bodyDiv w:val="1"/>
      <w:marLeft w:val="0"/>
      <w:marRight w:val="0"/>
      <w:marTop w:val="0"/>
      <w:marBottom w:val="0"/>
      <w:divBdr>
        <w:top w:val="none" w:sz="0" w:space="0" w:color="auto"/>
        <w:left w:val="none" w:sz="0" w:space="0" w:color="auto"/>
        <w:bottom w:val="none" w:sz="0" w:space="0" w:color="auto"/>
        <w:right w:val="none" w:sz="0" w:space="0" w:color="auto"/>
      </w:divBdr>
    </w:div>
    <w:div w:id="2089844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048987eb-c70a-4c76-a5b1-8acf37172c88"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E686802B97B6946BC195EDF019A135D" ma:contentTypeVersion="8" ma:contentTypeDescription="Create a new document." ma:contentTypeScope="" ma:versionID="97038a8d733f6f8d1a47d119bd16ee3e">
  <xsd:schema xmlns:xsd="http://www.w3.org/2001/XMLSchema" xmlns:xs="http://www.w3.org/2001/XMLSchema" xmlns:p="http://schemas.microsoft.com/office/2006/metadata/properties" xmlns:ns3="048987eb-c70a-4c76-a5b1-8acf37172c88" xmlns:ns4="0fcf215e-d6b9-4d3a-b2d0-b58d3673f81f" targetNamespace="http://schemas.microsoft.com/office/2006/metadata/properties" ma:root="true" ma:fieldsID="de20f73e7a7dbf665d72744ab84f2f45" ns3:_="" ns4:_="">
    <xsd:import namespace="048987eb-c70a-4c76-a5b1-8acf37172c88"/>
    <xsd:import namespace="0fcf215e-d6b9-4d3a-b2d0-b58d3673f81f"/>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MediaServiceSearchProperties" minOccurs="0"/>
                <xsd:element ref="ns3:_activity"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48987eb-c70a-4c76-a5b1-8acf37172c8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_activity" ma:index="12"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fcf215e-d6b9-4d3a-b2d0-b58d3673f81f"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SharingHintHash" ma:index="15"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411AA3D-4307-48AE-9331-83574B9AE0F2}">
  <ds:schemaRefs>
    <ds:schemaRef ds:uri="http://schemas.microsoft.com/sharepoint/v3/contenttype/forms"/>
  </ds:schemaRefs>
</ds:datastoreItem>
</file>

<file path=customXml/itemProps2.xml><?xml version="1.0" encoding="utf-8"?>
<ds:datastoreItem xmlns:ds="http://schemas.openxmlformats.org/officeDocument/2006/customXml" ds:itemID="{4FCA2B84-6697-4D64-AF25-B286E0468B7F}">
  <ds:schemaRefs>
    <ds:schemaRef ds:uri="http://schemas.microsoft.com/office/2006/metadata/properties"/>
    <ds:schemaRef ds:uri="http://schemas.microsoft.com/office/infopath/2007/PartnerControls"/>
    <ds:schemaRef ds:uri="048987eb-c70a-4c76-a5b1-8acf37172c88"/>
  </ds:schemaRefs>
</ds:datastoreItem>
</file>

<file path=customXml/itemProps3.xml><?xml version="1.0" encoding="utf-8"?>
<ds:datastoreItem xmlns:ds="http://schemas.openxmlformats.org/officeDocument/2006/customXml" ds:itemID="{575B7222-73F6-4555-97D2-CFDAEDD5C07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48987eb-c70a-4c76-a5b1-8acf37172c88"/>
    <ds:schemaRef ds:uri="0fcf215e-d6b9-4d3a-b2d0-b58d3673f81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22</Pages>
  <Words>8876</Words>
  <Characters>48824</Characters>
  <Application>Microsoft Office Word</Application>
  <DocSecurity>0</DocSecurity>
  <Lines>406</Lines>
  <Paragraphs>115</Paragraphs>
  <ScaleCrop>false</ScaleCrop>
  <HeadingPairs>
    <vt:vector size="2" baseType="variant">
      <vt:variant>
        <vt:lpstr>Título</vt:lpstr>
      </vt:variant>
      <vt:variant>
        <vt:i4>1</vt:i4>
      </vt:variant>
    </vt:vector>
  </HeadingPairs>
  <TitlesOfParts>
    <vt:vector size="1" baseType="lpstr">
      <vt:lpstr/>
    </vt:vector>
  </TitlesOfParts>
  <Company>Ministerio de Economía, Industria y Competitividad</Company>
  <LinksUpToDate>false</LinksUpToDate>
  <CharactersWithSpaces>57585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Reyes Granados, Marta</dc:creator>
  <cp:keywords/>
  <dc:description/>
  <cp:lastModifiedBy>Fernandez Picazo, Enrique Juan</cp:lastModifiedBy>
  <cp:revision>5</cp:revision>
  <dcterms:created xsi:type="dcterms:W3CDTF">2025-09-09T08:53:00Z</dcterms:created>
  <dcterms:modified xsi:type="dcterms:W3CDTF">2025-10-02T09:46:00Z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0x010100DE686802B97B6946BC195EDF019A135D</vt:lpwstr>
  </property>
</Properties>
</file>